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152E4">
      <w:pPr>
        <w:widowControl w:val="0"/>
        <w:adjustRightInd/>
        <w:snapToGrid/>
        <w:ind w:firstLine="0" w:firstLineChars="0"/>
        <w:contextualSpacing/>
        <w:jc w:val="center"/>
        <w:rPr>
          <w:rFonts w:ascii="宋体" w:hAnsi="Courier New" w:eastAsia="黑体" w:cs="Times New Roman"/>
          <w:b/>
          <w:kern w:val="2"/>
          <w:sz w:val="32"/>
          <w:szCs w:val="32"/>
          <w:lang w:bidi="ar-SA"/>
        </w:rPr>
      </w:pPr>
      <w:bookmarkStart w:id="0" w:name="OLE_LINK7"/>
      <w:bookmarkStart w:id="1" w:name="_Toc34064675"/>
      <w:bookmarkStart w:id="2" w:name="_Toc34064617"/>
      <w:r>
        <w:rPr>
          <w:rFonts w:hint="eastAsia" w:ascii="宋体" w:hAnsi="Courier New" w:eastAsia="黑体" w:cs="Times New Roman"/>
          <w:b/>
          <w:kern w:val="2"/>
          <w:sz w:val="32"/>
          <w:szCs w:val="32"/>
          <w:lang w:bidi="ar-SA"/>
        </w:rPr>
        <w:t>团体标准《通辽牛肉调理制品加工技术规范》(征求</w:t>
      </w:r>
      <w:r>
        <w:rPr>
          <w:rFonts w:ascii="宋体" w:hAnsi="Courier New" w:eastAsia="黑体" w:cs="Times New Roman"/>
          <w:b/>
          <w:kern w:val="2"/>
          <w:sz w:val="32"/>
          <w:szCs w:val="32"/>
          <w:lang w:bidi="ar-SA"/>
        </w:rPr>
        <w:t>意见</w:t>
      </w:r>
      <w:r>
        <w:rPr>
          <w:rFonts w:hint="eastAsia" w:ascii="宋体" w:hAnsi="Courier New" w:eastAsia="黑体" w:cs="Times New Roman"/>
          <w:b/>
          <w:kern w:val="2"/>
          <w:sz w:val="32"/>
          <w:szCs w:val="32"/>
          <w:lang w:bidi="ar-SA"/>
        </w:rPr>
        <w:t>稿)</w:t>
      </w:r>
    </w:p>
    <w:p w14:paraId="0D0C7493">
      <w:pPr>
        <w:widowControl w:val="0"/>
        <w:adjustRightInd/>
        <w:snapToGrid/>
        <w:ind w:firstLine="0" w:firstLineChars="0"/>
        <w:contextualSpacing/>
        <w:jc w:val="center"/>
        <w:rPr>
          <w:rFonts w:ascii="宋体" w:hAnsi="Courier New" w:eastAsia="黑体" w:cs="Times New Roman"/>
          <w:b/>
          <w:kern w:val="2"/>
          <w:sz w:val="32"/>
          <w:szCs w:val="32"/>
          <w:lang w:bidi="ar-SA"/>
        </w:rPr>
      </w:pPr>
      <w:r>
        <w:rPr>
          <w:rFonts w:hint="eastAsia" w:ascii="宋体" w:hAnsi="Courier New" w:eastAsia="黑体" w:cs="Times New Roman"/>
          <w:b/>
          <w:kern w:val="2"/>
          <w:sz w:val="32"/>
          <w:szCs w:val="32"/>
          <w:lang w:bidi="ar-SA"/>
        </w:rPr>
        <w:t>编制说明</w:t>
      </w:r>
    </w:p>
    <w:bookmarkEnd w:id="0"/>
    <w:p w14:paraId="07836670">
      <w:pPr>
        <w:pStyle w:val="2"/>
        <w:keepNext w:val="0"/>
        <w:keepLines w:val="0"/>
        <w:widowControl w:val="0"/>
        <w:adjustRightInd/>
        <w:snapToGrid/>
        <w:ind w:firstLine="560"/>
        <w:contextualSpacing/>
        <w:rPr>
          <w:rFonts w:ascii="Times New Roman" w:hAnsi="Times New Roman" w:cs="Times New Roman"/>
          <w:b w:val="0"/>
          <w:bCs/>
          <w:szCs w:val="44"/>
          <w:lang w:bidi="ar-SA"/>
        </w:rPr>
      </w:pPr>
      <w:r>
        <w:rPr>
          <w:rFonts w:hint="eastAsia" w:ascii="Times New Roman" w:hAnsi="Times New Roman" w:cs="Times New Roman"/>
          <w:b w:val="0"/>
          <w:bCs/>
          <w:szCs w:val="44"/>
          <w:lang w:bidi="ar-SA"/>
        </w:rPr>
        <w:t>一、工作简况</w:t>
      </w:r>
      <w:bookmarkStart w:id="3" w:name="OLE_LINK9"/>
    </w:p>
    <w:bookmarkEnd w:id="3"/>
    <w:p w14:paraId="01251011">
      <w:pPr>
        <w:pStyle w:val="3"/>
        <w:keepNext w:val="0"/>
        <w:keepLines w:val="0"/>
        <w:widowControl w:val="0"/>
        <w:adjustRightInd/>
        <w:snapToGrid/>
        <w:ind w:firstLine="562"/>
        <w:contextualSpacing/>
        <w:rPr>
          <w:rFonts w:ascii="Times New Roman" w:hAnsi="Times New Roman" w:eastAsia="楷体" w:cs="Times New Roman"/>
          <w:kern w:val="2"/>
          <w:sz w:val="28"/>
          <w:lang w:bidi="ar-SA"/>
        </w:rPr>
      </w:pPr>
      <w:bookmarkStart w:id="4" w:name="OLE_LINK13"/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（一）任务来源</w:t>
      </w:r>
    </w:p>
    <w:bookmarkEnd w:id="4"/>
    <w:p w14:paraId="499CA0A5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本</w:t>
      </w:r>
      <w:r>
        <w:rPr>
          <w:rFonts w:hint="eastAsia"/>
          <w:snapToGrid w:val="0"/>
          <w:sz w:val="24"/>
          <w:szCs w:val="24"/>
        </w:rPr>
        <w:t>任务来自中国肉类</w:t>
      </w:r>
      <w:r>
        <w:rPr>
          <w:rFonts w:ascii="Times New Roman" w:hAnsi="Times New Roman" w:cs="Times New Roman"/>
          <w:snapToGrid w:val="0"/>
          <w:sz w:val="24"/>
          <w:szCs w:val="24"/>
        </w:rPr>
        <w:t>协会2025年标准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制</w:t>
      </w:r>
      <w:r>
        <w:rPr>
          <w:rFonts w:ascii="Times New Roman" w:hAnsi="Times New Roman" w:cs="Times New Roman"/>
          <w:snapToGrid w:val="0"/>
          <w:sz w:val="24"/>
          <w:szCs w:val="24"/>
        </w:rPr>
        <w:t>订项目。</w:t>
      </w:r>
    </w:p>
    <w:p w14:paraId="3F61F40C">
      <w:pPr>
        <w:pStyle w:val="3"/>
        <w:keepNext w:val="0"/>
        <w:keepLines w:val="0"/>
        <w:snapToGrid/>
        <w:ind w:firstLine="562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（二）起草单位</w:t>
      </w:r>
      <w:r>
        <w:rPr>
          <w:rFonts w:hint="eastAsia" w:ascii="Times New Roman" w:hAnsi="Times New Roman"/>
          <w:sz w:val="28"/>
        </w:rPr>
        <w:t>、起草人</w:t>
      </w:r>
    </w:p>
    <w:p w14:paraId="61C93CB9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hint="eastAsia" w:ascii="Times New Roman" w:hAnsi="Times New Roman" w:cs="Times New Roman"/>
          <w:snapToGrid w:val="0"/>
          <w:sz w:val="24"/>
          <w:szCs w:val="24"/>
        </w:rPr>
        <w:t>略。</w:t>
      </w:r>
    </w:p>
    <w:p w14:paraId="1676763F">
      <w:pPr>
        <w:pStyle w:val="3"/>
        <w:keepNext w:val="0"/>
        <w:keepLines w:val="0"/>
        <w:widowControl w:val="0"/>
        <w:adjustRightInd/>
        <w:snapToGrid/>
        <w:ind w:firstLine="562"/>
        <w:contextualSpacing/>
        <w:rPr>
          <w:rFonts w:ascii="Times New Roman" w:hAnsi="Times New Roman" w:eastAsia="楷体" w:cs="Times New Roman"/>
          <w:kern w:val="2"/>
          <w:sz w:val="28"/>
          <w:lang w:bidi="ar-SA"/>
        </w:rPr>
      </w:pPr>
      <w:bookmarkStart w:id="5" w:name="OLE_LINK18"/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（三）主要工作过程</w:t>
      </w:r>
    </w:p>
    <w:bookmarkEnd w:id="5"/>
    <w:p w14:paraId="0649E751">
      <w:pPr>
        <w:snapToGrid/>
        <w:ind w:firstLine="482"/>
        <w:contextualSpacing/>
        <w:rPr>
          <w:b/>
          <w:bCs/>
          <w:snapToGrid w:val="0"/>
          <w:sz w:val="24"/>
          <w:szCs w:val="24"/>
        </w:rPr>
      </w:pPr>
      <w:bookmarkStart w:id="6" w:name="OLE_LINK28"/>
      <w:r>
        <w:rPr>
          <w:b/>
          <w:bCs/>
          <w:snapToGrid w:val="0"/>
          <w:sz w:val="24"/>
          <w:szCs w:val="24"/>
        </w:rPr>
        <w:t>1.起草阶段</w:t>
      </w:r>
    </w:p>
    <w:bookmarkEnd w:id="6"/>
    <w:p w14:paraId="5372F2DA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hint="eastAsia" w:ascii="Times New Roman" w:hAnsi="Times New Roman" w:cs="Times New Roman"/>
          <w:snapToGrid w:val="0"/>
          <w:sz w:val="24"/>
          <w:szCs w:val="24"/>
        </w:rPr>
        <w:t>标准立项后，中国肉类协会组织</w:t>
      </w:r>
      <w:r>
        <w:rPr>
          <w:rFonts w:ascii="Times New Roman" w:hAnsi="Times New Roman" w:cs="Times New Roman"/>
          <w:snapToGrid w:val="0"/>
          <w:sz w:val="24"/>
          <w:szCs w:val="24"/>
        </w:rPr>
        <w:t>通辽市农畜产品质量安全中心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、中国肉类食品综合研究中心等相关参编单位成立标准起草组。标准起草组对国内外同类或类似标准、研究文献、研究成果等进行收集整理，并广泛开展行业调查，在此基础上拟定具体技术参数和内容，形成标准征求意见稿。</w:t>
      </w:r>
    </w:p>
    <w:p w14:paraId="1FF40272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2025年1月，以通辽市农畜产品质量安全中心为牵头单位，协同中国肉类食品综合研究中心等相关参编单位成立标准起草组，确定其组成、责任与分工。</w:t>
      </w:r>
    </w:p>
    <w:p w14:paraId="37E1F19B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2025年2月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，</w:t>
      </w:r>
      <w:r>
        <w:rPr>
          <w:rFonts w:ascii="Times New Roman" w:hAnsi="Times New Roman" w:cs="Times New Roman"/>
          <w:snapToGrid w:val="0"/>
          <w:sz w:val="24"/>
          <w:szCs w:val="24"/>
        </w:rPr>
        <w:t>标准起草组对国内外同类或类似标准、研究文献、研究成果等进行收集整理。</w:t>
      </w:r>
    </w:p>
    <w:p w14:paraId="677D4722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2025年3月，收集与起草标准需求相关的国家标准、政策法规、技术资料等信息，对资料进行整理，为标准起草工作提供依据。</w:t>
      </w:r>
    </w:p>
    <w:p w14:paraId="6502B7ED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2025年4月，起草工作组考察了通辽市调理牛肉产品加工企业，确定标准制定计划，形成标准草案，并在通辽市召开了系列团体标准起草工作组会议。</w:t>
      </w:r>
    </w:p>
    <w:p w14:paraId="47AAE0C2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2025年5月，标准起草工作组完成了《通辽牛肉调理制品加工技术规范》工作组讨论稿。结合通辽牛肉的特征，对起草标准讨论稿进行调整、修改、补充内容。</w:t>
      </w:r>
    </w:p>
    <w:p w14:paraId="27DB5106">
      <w:pPr>
        <w:snapToGrid/>
        <w:ind w:firstLine="482"/>
        <w:contextualSpacing/>
        <w:rPr>
          <w:b/>
          <w:bCs/>
          <w:snapToGrid w:val="0"/>
          <w:sz w:val="24"/>
          <w:szCs w:val="24"/>
        </w:rPr>
      </w:pPr>
      <w:r>
        <w:rPr>
          <w:rFonts w:hint="eastAsia"/>
          <w:b/>
          <w:bCs/>
          <w:snapToGrid w:val="0"/>
          <w:sz w:val="24"/>
          <w:szCs w:val="24"/>
        </w:rPr>
        <w:t>2</w:t>
      </w:r>
      <w:r>
        <w:rPr>
          <w:b/>
          <w:bCs/>
          <w:snapToGrid w:val="0"/>
          <w:sz w:val="24"/>
          <w:szCs w:val="24"/>
        </w:rPr>
        <w:t>.</w:t>
      </w:r>
      <w:r>
        <w:rPr>
          <w:rFonts w:hint="eastAsia"/>
          <w:b/>
          <w:bCs/>
          <w:snapToGrid w:val="0"/>
          <w:sz w:val="24"/>
          <w:szCs w:val="24"/>
        </w:rPr>
        <w:t>征求意见阶段</w:t>
      </w:r>
    </w:p>
    <w:p w14:paraId="39D44AD7">
      <w:pPr>
        <w:snapToGrid/>
        <w:ind w:firstLine="480"/>
        <w:contextualSpacing/>
        <w:rPr>
          <w:bCs/>
          <w:snapToGrid w:val="0"/>
          <w:sz w:val="24"/>
          <w:szCs w:val="24"/>
        </w:rPr>
      </w:pPr>
      <w:r>
        <w:rPr>
          <w:rFonts w:hint="eastAsia"/>
          <w:bCs/>
          <w:snapToGrid w:val="0"/>
          <w:sz w:val="24"/>
          <w:szCs w:val="24"/>
        </w:rPr>
        <w:t>略</w:t>
      </w:r>
    </w:p>
    <w:p w14:paraId="50A7A298">
      <w:pPr>
        <w:snapToGrid/>
        <w:ind w:firstLine="482"/>
        <w:contextualSpacing/>
        <w:rPr>
          <w:b/>
          <w:bCs/>
          <w:snapToGrid w:val="0"/>
          <w:sz w:val="24"/>
          <w:szCs w:val="24"/>
        </w:rPr>
      </w:pPr>
      <w:r>
        <w:rPr>
          <w:rFonts w:hint="eastAsia"/>
          <w:b/>
          <w:bCs/>
          <w:snapToGrid w:val="0"/>
          <w:sz w:val="24"/>
          <w:szCs w:val="24"/>
        </w:rPr>
        <w:t>3.审查阶段</w:t>
      </w:r>
      <w:bookmarkStart w:id="7" w:name="OLE_LINK129"/>
    </w:p>
    <w:p w14:paraId="5D6A53A3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hint="eastAsia" w:ascii="Times New Roman" w:hAnsi="Times New Roman" w:cs="Times New Roman"/>
          <w:snapToGrid w:val="0"/>
          <w:sz w:val="24"/>
          <w:szCs w:val="24"/>
        </w:rPr>
        <w:t>略</w:t>
      </w:r>
    </w:p>
    <w:p w14:paraId="2E60BF55">
      <w:pPr>
        <w:pStyle w:val="2"/>
        <w:keepNext w:val="0"/>
        <w:keepLines w:val="0"/>
        <w:widowControl w:val="0"/>
        <w:adjustRightInd/>
        <w:snapToGrid/>
        <w:ind w:firstLine="560"/>
        <w:contextualSpacing/>
        <w:rPr>
          <w:rFonts w:ascii="Times New Roman" w:hAnsi="Times New Roman" w:cs="Times New Roman"/>
          <w:b w:val="0"/>
          <w:bCs/>
          <w:szCs w:val="44"/>
          <w:lang w:bidi="ar-SA"/>
        </w:rPr>
      </w:pPr>
      <w:bookmarkStart w:id="8" w:name="OLE_LINK20"/>
      <w:bookmarkStart w:id="9" w:name="OLE_LINK19"/>
      <w:r>
        <w:rPr>
          <w:rFonts w:hint="eastAsia" w:ascii="Times New Roman" w:hAnsi="Times New Roman" w:cs="Times New Roman"/>
          <w:b w:val="0"/>
          <w:bCs/>
          <w:szCs w:val="44"/>
          <w:lang w:bidi="ar-SA"/>
        </w:rPr>
        <w:t>二、标准编制原则和确定标准主要内容的依据</w:t>
      </w:r>
    </w:p>
    <w:bookmarkEnd w:id="7"/>
    <w:bookmarkEnd w:id="8"/>
    <w:bookmarkEnd w:id="9"/>
    <w:p w14:paraId="1175C938">
      <w:pPr>
        <w:pStyle w:val="3"/>
        <w:keepNext w:val="0"/>
        <w:keepLines w:val="0"/>
        <w:widowControl w:val="0"/>
        <w:adjustRightInd/>
        <w:snapToGrid/>
        <w:ind w:firstLine="562"/>
        <w:contextualSpacing/>
        <w:rPr>
          <w:rFonts w:ascii="Times New Roman" w:hAnsi="Times New Roman" w:eastAsia="楷体" w:cs="Times New Roman"/>
          <w:kern w:val="2"/>
          <w:sz w:val="28"/>
          <w:lang w:bidi="ar-SA"/>
        </w:rPr>
      </w:pPr>
      <w:bookmarkStart w:id="10" w:name="OLE_LINK21"/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（一）标准的修订原则</w:t>
      </w:r>
    </w:p>
    <w:bookmarkEnd w:id="10"/>
    <w:p w14:paraId="5BC3D999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按照GB/T 1.1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-</w:t>
      </w:r>
      <w:r>
        <w:rPr>
          <w:rFonts w:ascii="Times New Roman" w:hAnsi="Times New Roman" w:cs="Times New Roman"/>
          <w:snapToGrid w:val="0"/>
          <w:sz w:val="24"/>
          <w:szCs w:val="24"/>
        </w:rPr>
        <w:t>2020《标准化工作导则 第1部分：标准化文件的结构和起草规则》、GB/T 1.2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-</w:t>
      </w:r>
      <w:r>
        <w:rPr>
          <w:rFonts w:ascii="Times New Roman" w:hAnsi="Times New Roman" w:cs="Times New Roman"/>
          <w:snapToGrid w:val="0"/>
          <w:sz w:val="24"/>
          <w:szCs w:val="24"/>
        </w:rPr>
        <w:t>2020《标准化工作导则 第2部分：以ISO/IEC标准化文件为基础的标准化文件起草规则》、GB/T 20001.4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-</w:t>
      </w:r>
      <w:r>
        <w:rPr>
          <w:rFonts w:ascii="Times New Roman" w:hAnsi="Times New Roman" w:cs="Times New Roman"/>
          <w:snapToGrid w:val="0"/>
          <w:sz w:val="24"/>
          <w:szCs w:val="24"/>
        </w:rPr>
        <w:t>2015《标准编制规则 第4部分：试验方法标准》的规定和要求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对标准进行修订编写</w:t>
      </w:r>
      <w:r>
        <w:rPr>
          <w:rFonts w:ascii="Times New Roman" w:hAnsi="Times New Roman" w:cs="Times New Roman"/>
          <w:snapToGrid w:val="0"/>
          <w:sz w:val="24"/>
          <w:szCs w:val="24"/>
        </w:rPr>
        <w:t>。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本标准的修订遵循以下原则：</w:t>
      </w:r>
    </w:p>
    <w:p w14:paraId="26032D94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一是科学性原则。参考国内外法规、标准和有关文献资料，结合行业和产品特点，密切联系企业生产实践，科学地确定标准体系框架，并对其进行详细说明。</w:t>
      </w:r>
    </w:p>
    <w:p w14:paraId="2A78C4CE">
      <w:pPr>
        <w:snapToGrid/>
        <w:ind w:firstLine="480"/>
        <w:contextualSpacing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二是适用性原则。与我国现行食品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法律法规</w:t>
      </w:r>
      <w:r>
        <w:rPr>
          <w:rFonts w:ascii="Times New Roman" w:hAnsi="Times New Roman" w:cs="Times New Roman"/>
          <w:snapToGrid w:val="0"/>
          <w:sz w:val="24"/>
          <w:szCs w:val="24"/>
        </w:rPr>
        <w:t>协调一致</w:t>
      </w:r>
      <w:r>
        <w:rPr>
          <w:rFonts w:hint="eastAsia" w:ascii="Times New Roman" w:hAnsi="Times New Roman" w:cs="Times New Roman"/>
          <w:snapToGrid w:val="0"/>
          <w:sz w:val="24"/>
          <w:szCs w:val="24"/>
        </w:rPr>
        <w:t>。</w:t>
      </w:r>
      <w:r>
        <w:rPr>
          <w:rFonts w:ascii="Times New Roman" w:hAnsi="Times New Roman" w:cs="Times New Roman"/>
          <w:snapToGrid w:val="0"/>
          <w:sz w:val="24"/>
          <w:szCs w:val="24"/>
        </w:rPr>
        <w:t>标准内容便于实施，易于被其他标准或文件所引用，确保标准的适用性。</w:t>
      </w:r>
    </w:p>
    <w:p w14:paraId="75746D68">
      <w:pPr>
        <w:pStyle w:val="3"/>
        <w:keepNext w:val="0"/>
        <w:keepLines w:val="0"/>
        <w:widowControl w:val="0"/>
        <w:adjustRightInd/>
        <w:snapToGrid/>
        <w:ind w:firstLine="562"/>
        <w:contextualSpacing/>
        <w:rPr>
          <w:rFonts w:ascii="Times New Roman" w:hAnsi="Times New Roman" w:eastAsia="楷体" w:cs="Times New Roman"/>
          <w:kern w:val="2"/>
          <w:sz w:val="28"/>
          <w:lang w:bidi="ar-SA"/>
        </w:rPr>
      </w:pPr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（二）主要内容的依据</w:t>
      </w:r>
    </w:p>
    <w:p w14:paraId="00AC65DC">
      <w:pPr>
        <w:adjustRightInd/>
        <w:snapToGrid/>
        <w:ind w:firstLine="482"/>
        <w:contextualSpacing/>
        <w:rPr>
          <w:rFonts w:ascii="Times New Roman" w:hAnsi="Times New Roman" w:eastAsia="宋体" w:cs="Times New Roman"/>
          <w:b/>
          <w:bCs/>
          <w:kern w:val="2"/>
          <w:sz w:val="24"/>
          <w:szCs w:val="24"/>
          <w:lang w:bidi="ar-SA"/>
        </w:rPr>
      </w:pPr>
      <w:bookmarkStart w:id="11" w:name="OLE_LINK22"/>
      <w:r>
        <w:rPr>
          <w:rFonts w:ascii="Times New Roman" w:hAnsi="Times New Roman" w:eastAsia="宋体" w:cs="Times New Roman"/>
          <w:b/>
          <w:bCs/>
          <w:kern w:val="2"/>
          <w:sz w:val="24"/>
          <w:szCs w:val="24"/>
          <w:lang w:bidi="ar-SA"/>
        </w:rPr>
        <w:t>1 范围</w:t>
      </w:r>
      <w:bookmarkEnd w:id="1"/>
      <w:bookmarkEnd w:id="2"/>
    </w:p>
    <w:bookmarkEnd w:id="11"/>
    <w:p w14:paraId="287649A4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1D89F52E">
      <w:pPr>
        <w:pStyle w:val="30"/>
        <w:ind w:firstLine="480"/>
        <w:contextualSpacing/>
        <w:rPr>
          <w:snapToGrid w:val="0"/>
          <w:sz w:val="24"/>
          <w:szCs w:val="24"/>
        </w:rPr>
      </w:pPr>
      <w:bookmarkStart w:id="33" w:name="_GoBack"/>
      <w:bookmarkEnd w:id="33"/>
      <w:r>
        <w:rPr>
          <w:rFonts w:hint="eastAsia"/>
          <w:snapToGrid w:val="0"/>
          <w:sz w:val="24"/>
          <w:szCs w:val="24"/>
        </w:rPr>
        <w:tab/>
      </w:r>
      <w:r>
        <w:rPr>
          <w:rFonts w:hint="eastAsia"/>
          <w:snapToGrid w:val="0"/>
          <w:sz w:val="24"/>
          <w:szCs w:val="24"/>
        </w:rPr>
        <w:t>本文件规定了通辽牛肉调理制品的生产场所要求、生产管理控制、加工技术要求、标签、标志、贮存、运输和销售的要求。</w:t>
      </w:r>
    </w:p>
    <w:p w14:paraId="0478157F">
      <w:pPr>
        <w:pStyle w:val="30"/>
        <w:ind w:firstLine="480"/>
        <w:contextualSpacing/>
        <w:rPr>
          <w:snapToGrid w:val="0"/>
          <w:sz w:val="24"/>
          <w:szCs w:val="24"/>
        </w:rPr>
      </w:pPr>
      <w:r>
        <w:rPr>
          <w:rFonts w:hint="eastAsia"/>
          <w:snapToGrid w:val="0"/>
          <w:sz w:val="24"/>
          <w:szCs w:val="24"/>
        </w:rPr>
        <w:t>本标准适用于通辽牛肉调理制品的生产加工。</w:t>
      </w:r>
    </w:p>
    <w:p w14:paraId="4D5C4979">
      <w:pPr>
        <w:snapToGrid/>
        <w:ind w:firstLine="482"/>
        <w:contextualSpacing/>
        <w:rPr>
          <w:b/>
          <w:sz w:val="24"/>
        </w:rPr>
      </w:pPr>
      <w:bookmarkStart w:id="12" w:name="OLE_LINK31"/>
      <w:r>
        <w:rPr>
          <w:rFonts w:hint="eastAsia"/>
          <w:b/>
          <w:sz w:val="24"/>
        </w:rPr>
        <w:t>制定依据：</w:t>
      </w:r>
      <w:bookmarkEnd w:id="12"/>
    </w:p>
    <w:p w14:paraId="5C396ADA">
      <w:pPr>
        <w:snapToGrid/>
        <w:ind w:firstLine="480"/>
        <w:contextualSpacing/>
        <w:rPr>
          <w:b/>
          <w:sz w:val="24"/>
        </w:rPr>
      </w:pPr>
      <w:r>
        <w:rPr>
          <w:rFonts w:hint="eastAsia"/>
          <w:snapToGrid w:val="0"/>
          <w:sz w:val="24"/>
          <w:szCs w:val="24"/>
        </w:rPr>
        <w:t>本部分列出了标准正文的</w:t>
      </w:r>
      <w:r>
        <w:rPr>
          <w:snapToGrid w:val="0"/>
          <w:sz w:val="24"/>
          <w:szCs w:val="24"/>
        </w:rPr>
        <w:t>主要内容和适用范围。</w:t>
      </w:r>
    </w:p>
    <w:p w14:paraId="23FEB093">
      <w:pPr>
        <w:pStyle w:val="34"/>
        <w:numPr>
          <w:ilvl w:val="0"/>
          <w:numId w:val="0"/>
        </w:numPr>
        <w:spacing w:beforeLines="0" w:afterLines="0" w:line="360" w:lineRule="auto"/>
        <w:ind w:firstLine="482" w:firstLineChars="200"/>
        <w:contextualSpacing/>
        <w:rPr>
          <w:rFonts w:ascii="Times New Roman" w:eastAsia="宋体"/>
          <w:b/>
          <w:bCs/>
          <w:snapToGrid w:val="0"/>
          <w:sz w:val="24"/>
          <w:szCs w:val="24"/>
        </w:rPr>
      </w:pPr>
      <w:bookmarkStart w:id="13" w:name="_Toc34064618"/>
      <w:bookmarkStart w:id="14" w:name="_Toc34064676"/>
      <w:bookmarkStart w:id="15" w:name="OLE_LINK34"/>
      <w:r>
        <w:rPr>
          <w:rFonts w:ascii="Times New Roman" w:eastAsia="宋体"/>
          <w:b/>
          <w:bCs/>
          <w:snapToGrid w:val="0"/>
          <w:sz w:val="24"/>
          <w:szCs w:val="24"/>
        </w:rPr>
        <w:t>2 规范性引用文件</w:t>
      </w:r>
      <w:bookmarkEnd w:id="13"/>
      <w:bookmarkEnd w:id="14"/>
    </w:p>
    <w:bookmarkEnd w:id="15"/>
    <w:p w14:paraId="7BC8042D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2076227C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hint="eastAsia" w:ascii="Times New Roman"/>
          <w:snapToGrid w:val="0"/>
          <w:sz w:val="24"/>
          <w:szCs w:val="24"/>
        </w:rPr>
        <w:t>下列文件对于本文件的应用是必不可少的。凡是注日期的引用文件，仅所注日期的版本适用于 本文件。凡是不注日期的引用文件，其最新版本（包括所有的修改单）适用于本文件。</w:t>
      </w:r>
    </w:p>
    <w:p w14:paraId="36B28BEE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GB/T 191 包装储运图示标志</w:t>
      </w:r>
    </w:p>
    <w:p w14:paraId="6701F235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 2760 食品安全国家标准  食品添加剂使用标准</w:t>
      </w:r>
    </w:p>
    <w:p w14:paraId="6F20AA1A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GB/T 6388 运输包装收发货标志</w:t>
      </w:r>
    </w:p>
    <w:p w14:paraId="64A12A3B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 7718 食品安全国家标准  预包装食品标签通则</w:t>
      </w:r>
    </w:p>
    <w:p w14:paraId="158D83BF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 xml:space="preserve">GB 14881 食品安全国家标准 </w:t>
      </w:r>
      <w:r>
        <w:rPr>
          <w:rFonts w:hint="eastAsia" w:ascii="Times New Roman"/>
          <w:snapToGrid w:val="0"/>
          <w:sz w:val="24"/>
          <w:szCs w:val="24"/>
        </w:rPr>
        <w:t xml:space="preserve"> </w:t>
      </w:r>
      <w:r>
        <w:rPr>
          <w:rFonts w:ascii="Times New Roman"/>
          <w:snapToGrid w:val="0"/>
          <w:sz w:val="24"/>
          <w:szCs w:val="24"/>
        </w:rPr>
        <w:t>食品生产通用卫生规范</w:t>
      </w:r>
    </w:p>
    <w:p w14:paraId="5B0E2069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 20799 食品安全国家标准  肉和肉制品经营卫生规范</w:t>
      </w:r>
    </w:p>
    <w:p w14:paraId="29ED54E4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GB/T 20940 肉类制品企业良好操作规范</w:t>
      </w:r>
    </w:p>
    <w:p w14:paraId="43DA31D6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 28050 食品安全国家标准  预包装食品营养标签通则</w:t>
      </w:r>
    </w:p>
    <w:p w14:paraId="5E2779AB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 31605 食品安全国家标准  食品冷链物流卫生规范</w:t>
      </w:r>
    </w:p>
    <w:p w14:paraId="27CE5AA2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 xml:space="preserve">GB 31621 食品安全国家标准 </w:t>
      </w:r>
      <w:r>
        <w:rPr>
          <w:rFonts w:hint="eastAsia" w:ascii="Times New Roman"/>
          <w:snapToGrid w:val="0"/>
          <w:sz w:val="24"/>
          <w:szCs w:val="24"/>
        </w:rPr>
        <w:t xml:space="preserve"> </w:t>
      </w:r>
      <w:r>
        <w:rPr>
          <w:rFonts w:ascii="Times New Roman"/>
          <w:snapToGrid w:val="0"/>
          <w:sz w:val="24"/>
          <w:szCs w:val="24"/>
        </w:rPr>
        <w:t>食品经营过程卫生规范</w:t>
      </w:r>
    </w:p>
    <w:p w14:paraId="07F188C0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 31646 食品安全国家标准  速冻食品生产和经营卫生规范</w:t>
      </w:r>
    </w:p>
    <w:p w14:paraId="455D8B74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GB 31661 食品安全国家标准  调制肉制品生产卫生规范</w:t>
      </w:r>
    </w:p>
    <w:p w14:paraId="58B6BF58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NY/T 2073 调理肉制品加工技术规范</w:t>
      </w:r>
    </w:p>
    <w:p w14:paraId="6217DFC1">
      <w:pPr>
        <w:pStyle w:val="30"/>
        <w:ind w:firstLine="480"/>
        <w:contextualSpacing/>
        <w:rPr>
          <w:rFonts w:ascii="Times New Roman"/>
          <w:snapToGrid w:val="0"/>
          <w:sz w:val="24"/>
          <w:szCs w:val="24"/>
        </w:rPr>
      </w:pPr>
      <w:r>
        <w:rPr>
          <w:rFonts w:ascii="Times New Roman"/>
          <w:snapToGrid w:val="0"/>
          <w:sz w:val="24"/>
          <w:szCs w:val="24"/>
        </w:rPr>
        <w:t>T/CMATB 3012-2024 通辽牛肉</w:t>
      </w:r>
    </w:p>
    <w:p w14:paraId="3D1DE709">
      <w:pPr>
        <w:pStyle w:val="30"/>
        <w:ind w:firstLine="482"/>
        <w:contextualSpacing/>
        <w:rPr>
          <w:b/>
          <w:bCs/>
          <w:snapToGrid w:val="0"/>
        </w:rPr>
      </w:pPr>
      <w:bookmarkStart w:id="16" w:name="OLE_LINK38"/>
      <w:bookmarkStart w:id="17" w:name="_Toc34064677"/>
      <w:bookmarkStart w:id="18" w:name="_Toc28093197"/>
      <w:bookmarkStart w:id="19" w:name="_Toc28158537"/>
      <w:bookmarkStart w:id="20" w:name="_Toc34064619"/>
      <w:bookmarkStart w:id="21" w:name="_Toc28096568"/>
      <w:r>
        <w:rPr>
          <w:rFonts w:hint="eastAsia" w:cs="宋体" w:asciiTheme="minorEastAsia" w:hAnsiTheme="minorEastAsia" w:eastAsiaTheme="minorEastAsia"/>
          <w:b/>
          <w:sz w:val="24"/>
          <w:lang w:bidi="zh-TW"/>
        </w:rPr>
        <w:t>制定依据：</w:t>
      </w:r>
      <w:bookmarkEnd w:id="16"/>
    </w:p>
    <w:p w14:paraId="4E67A293">
      <w:pPr>
        <w:snapToGrid/>
        <w:ind w:firstLine="480"/>
        <w:contextualSpacing/>
        <w:jc w:val="left"/>
      </w:pPr>
      <w:r>
        <w:rPr>
          <w:rFonts w:hint="eastAsia"/>
          <w:snapToGrid w:val="0"/>
          <w:sz w:val="24"/>
          <w:szCs w:val="24"/>
        </w:rPr>
        <w:t>本部分列出了标准正文中引用的相关标准和文件。主要包括国家、行业的通用标准和一些基础性标准。</w:t>
      </w:r>
      <w:r>
        <w:rPr>
          <w:rFonts w:hint="eastAsia" w:ascii="宋体" w:hAnsi="宋体" w:eastAsia="宋体"/>
          <w:color w:val="000000"/>
          <w:sz w:val="24"/>
          <w:szCs w:val="24"/>
          <w:lang w:bidi="ar"/>
        </w:rPr>
        <w:t>这些引用文件对于本文件是不可或缺的，在相关内容中都有引用。</w:t>
      </w:r>
    </w:p>
    <w:p w14:paraId="517EEC09">
      <w:pPr>
        <w:snapToGrid/>
        <w:ind w:firstLine="482"/>
        <w:contextualSpacing/>
        <w:jc w:val="left"/>
        <w:rPr>
          <w:rFonts w:ascii="Times New Roman" w:hAnsi="Times New Roman" w:eastAsia="宋体" w:cs="Times New Roman"/>
          <w:b/>
          <w:bCs/>
          <w:snapToGrid w:val="0"/>
          <w:sz w:val="24"/>
          <w:szCs w:val="24"/>
          <w:lang w:bidi="ar-SA"/>
        </w:rPr>
      </w:pPr>
      <w:r>
        <w:rPr>
          <w:rFonts w:hint="eastAsia" w:ascii="Times New Roman" w:eastAsia="宋体"/>
          <w:b/>
          <w:bCs/>
          <w:snapToGrid w:val="0"/>
          <w:sz w:val="24"/>
          <w:szCs w:val="24"/>
        </w:rPr>
        <w:t xml:space="preserve">3 </w:t>
      </w:r>
      <w:r>
        <w:rPr>
          <w:rFonts w:hint="eastAsia" w:ascii="Times New Roman" w:hAnsi="Times New Roman" w:eastAsia="宋体" w:cs="Times New Roman"/>
          <w:b/>
          <w:bCs/>
          <w:snapToGrid w:val="0"/>
          <w:sz w:val="24"/>
          <w:szCs w:val="24"/>
          <w:lang w:bidi="ar-SA"/>
        </w:rPr>
        <w:t>术语和定义</w:t>
      </w:r>
    </w:p>
    <w:p w14:paraId="1761E419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4DB72C03">
      <w:pPr>
        <w:snapToGrid/>
        <w:ind w:firstLine="480"/>
        <w:contextualSpacing/>
        <w:jc w:val="left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NY/T 2073规定的以及下列术语和定义适用于本文件。</w:t>
      </w:r>
    </w:p>
    <w:p w14:paraId="2FD28BCE">
      <w:pPr>
        <w:pStyle w:val="37"/>
        <w:ind w:firstLine="420"/>
        <w:contextualSpacing/>
        <w:rPr>
          <w:snapToGrid w:val="0"/>
        </w:rPr>
      </w:pPr>
      <w:r>
        <w:rPr>
          <w:rFonts w:hint="eastAsia"/>
          <w:snapToGrid w:val="0"/>
        </w:rPr>
        <w:t>3.1　通辽牛肉调理制品 Tongliao beef prepared products</w:t>
      </w:r>
    </w:p>
    <w:p w14:paraId="0D365BEA">
      <w:pPr>
        <w:pStyle w:val="30"/>
        <w:ind w:firstLine="480"/>
        <w:contextualSpacing/>
        <w:rPr>
          <w:rFonts w:cs="宋体" w:asciiTheme="minorEastAsia" w:hAnsiTheme="minorEastAsia" w:eastAsiaTheme="minorEastAsia"/>
          <w:snapToGrid w:val="0"/>
          <w:sz w:val="24"/>
          <w:szCs w:val="24"/>
          <w:lang w:bidi="zh-TW"/>
        </w:rPr>
      </w:pPr>
      <w:r>
        <w:rPr>
          <w:rFonts w:hint="eastAsia" w:cs="宋体" w:asciiTheme="minorEastAsia" w:hAnsiTheme="minorEastAsia" w:eastAsiaTheme="minorEastAsia"/>
          <w:snapToGrid w:val="0"/>
          <w:sz w:val="24"/>
          <w:szCs w:val="24"/>
          <w:lang w:bidi="zh-TW"/>
        </w:rPr>
        <w:t>在通辽地区生产的，以鲜(冻)通辽牛肉或可食副产品为原料，绞制或切制后配以辅料，经滚揉（或不滚揉）、搅拌（或不搅拌）、调味、预加热（或不加热）等工艺加工而成，需在冷藏或冻藏条件下贮藏、运输及销售，食用前需经二次加工的非即食类肉制品。</w:t>
      </w:r>
    </w:p>
    <w:bookmarkEnd w:id="17"/>
    <w:bookmarkEnd w:id="18"/>
    <w:bookmarkEnd w:id="19"/>
    <w:bookmarkEnd w:id="20"/>
    <w:bookmarkEnd w:id="21"/>
    <w:p w14:paraId="5AE95176">
      <w:pPr>
        <w:pStyle w:val="10"/>
        <w:snapToGrid/>
        <w:spacing w:beforeAutospacing="0" w:afterAutospacing="0"/>
        <w:ind w:firstLine="482"/>
        <w:contextualSpacing/>
        <w:rPr>
          <w:rFonts w:hint="default" w:ascii="Times New Roman" w:hAnsi="Times New Roman" w:eastAsia="宋体" w:cs="Times New Roman"/>
          <w:b/>
          <w:bCs/>
          <w:snapToGrid w:val="0"/>
          <w:szCs w:val="24"/>
          <w:lang w:bidi="ar"/>
        </w:rPr>
      </w:pPr>
      <w:bookmarkStart w:id="22" w:name="OLE_LINK97"/>
      <w:r>
        <w:rPr>
          <w:rFonts w:ascii="Times New Roman" w:hAnsi="Times New Roman" w:eastAsia="宋体" w:cs="Times New Roman"/>
          <w:b/>
          <w:bCs/>
          <w:snapToGrid w:val="0"/>
          <w:szCs w:val="24"/>
          <w:lang w:bidi="ar"/>
        </w:rPr>
        <w:t>制定依据：</w:t>
      </w:r>
    </w:p>
    <w:p w14:paraId="01233B68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本条定义了通辽牛肉调理制品的概念。通辽牛肉调理制品的定义未制定在标准文件中，但调理肉制品定义在多个文件中出现，如NY/T 2073-2011 《调理肉制品加工技术规范》中调理肉制品的定义为“以畜禽肉为主要原料，绞制或切制后添加调味料、蔬菜等辅料，经滚揉、搅拌、调味或预加热等工艺加工而成，需在冷藏或冻藏条件下贮藏、运输及销售，食用前需经二次加工的非即食类肉制品”。即将实施的国标 GB 31661-2025 《食品安全国家标准 调制肉制品生产卫生规范》中定义调制肉制品为“以鲜(冻)畜、禽产品为主要原料，经原辅料预处理、调制加工、冷却或冻结、包装而成的需冷藏或冷冻贮存、运输的非即食肉制品,也称为调理肉制品。包括冷藏调制肉制品和冷冻调制肉制品。”</w:t>
      </w:r>
    </w:p>
    <w:p w14:paraId="2A4D10D6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本文件依据相关标准“调理肉制品”的定义，结合通辽牛肉调理制品的生产工艺特点，进一步完善了“通辽牛肉调理制品”的定义。</w:t>
      </w:r>
    </w:p>
    <w:p w14:paraId="244BEE31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7E831ECC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4　生产场所要求</w:t>
      </w:r>
    </w:p>
    <w:p w14:paraId="1C94A2B8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应符合 GB 14881 的规定。</w:t>
      </w:r>
    </w:p>
    <w:p w14:paraId="3B8248D7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2945DD7E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国家标准GB 14881-2013 《食品安全国家标准 食品生产通用卫生规范》是</w:t>
      </w:r>
      <w:r>
        <w:rPr>
          <w:rFonts w:hint="default" w:asciiTheme="minorEastAsia" w:hAnsiTheme="minorEastAsia"/>
          <w:snapToGrid w:val="0"/>
          <w:szCs w:val="24"/>
        </w:rPr>
        <w:t>成熟标准，</w:t>
      </w:r>
      <w:r>
        <w:rPr>
          <w:rFonts w:asciiTheme="minorEastAsia" w:hAnsiTheme="minorEastAsia"/>
          <w:snapToGrid w:val="0"/>
          <w:szCs w:val="24"/>
        </w:rPr>
        <w:t>对调理肉制品加工生产场所要求进行了规定，</w:t>
      </w:r>
      <w:r>
        <w:rPr>
          <w:rFonts w:hint="default" w:asciiTheme="minorEastAsia" w:hAnsiTheme="minorEastAsia"/>
          <w:snapToGrid w:val="0"/>
          <w:szCs w:val="24"/>
        </w:rPr>
        <w:t>本文件直接引用</w:t>
      </w:r>
      <w:r>
        <w:rPr>
          <w:rFonts w:asciiTheme="minorEastAsia" w:hAnsiTheme="minorEastAsia"/>
          <w:snapToGrid w:val="0"/>
          <w:szCs w:val="24"/>
        </w:rPr>
        <w:t>。</w:t>
      </w:r>
    </w:p>
    <w:p w14:paraId="5D0D7D35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078911F3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　生产管理控制</w:t>
      </w:r>
    </w:p>
    <w:p w14:paraId="621893FE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5.1　一般要求</w:t>
      </w:r>
    </w:p>
    <w:p w14:paraId="2E07AF11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应符合GB 14881、GB/T 20940、GB 31621、GB 31661等标准的相关规定。</w:t>
      </w:r>
    </w:p>
    <w:p w14:paraId="6C333DBA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5.2　人员卫生控制</w:t>
      </w:r>
    </w:p>
    <w:p w14:paraId="67336D6C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5.2.1　需人工操作的加工过程，员工应按要求做好手部清洗消毒，手部清洁消毒间隔时间不宜超过1h。</w:t>
      </w:r>
    </w:p>
    <w:p w14:paraId="21E9FFF5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5.2.2　使用或接触可能污染产品的物品和环境后，再次从事接触通辽牛肉调理制品和相关工具、容器、设备、包装材料等与产品经营相关的活动前，应清洗消毒。</w:t>
      </w:r>
    </w:p>
    <w:p w14:paraId="396F9957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5.3　环境、设备卫生控制</w:t>
      </w:r>
    </w:p>
    <w:p w14:paraId="5E9AEC13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5.3.1　加工区域内靠近裸露产品位置的环境空气每月至少1次监测菌落总数、沙门氏菌等微生物，可结合实际情况确定监控指标限值，冷却间、内包装车间应严格控制微生物限值。</w:t>
      </w:r>
    </w:p>
    <w:p w14:paraId="4948EA1F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5.3.2　应定时清除加工区域废弃物；裸露产品工作台面的废弃物应及时清除，并定时进行工作台的清洗消毒，清洗消毒间隔时间不宜超过1h。</w:t>
      </w:r>
    </w:p>
    <w:p w14:paraId="55D54197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5.3.3　产品加工过程中刀具应及时清洁消毒，采用热水清洁消毒时水温应不低于82℃，连续使用时清洁消毒间隔时间不宜超过1h。</w:t>
      </w:r>
    </w:p>
    <w:p w14:paraId="3065CBB9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5.3.4　进行现场维修、维护、清洁消毒及施工等工作时，应采取有效防护措施，避免异物、异味、碎屑、有毒有害气体等污染产品。</w:t>
      </w:r>
    </w:p>
    <w:p w14:paraId="5DD93078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1FFEA2CE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GB 14881-2013 《食品安全国家标准 食品生产通用卫生规范》、GB/T 20940-2007 《肉类制品企业良好操作规范》、GB 31621-</w:t>
      </w:r>
      <w:r>
        <w:rPr>
          <w:rFonts w:hint="default" w:asciiTheme="minorEastAsia" w:hAnsiTheme="minorEastAsia"/>
          <w:snapToGrid w:val="0"/>
          <w:szCs w:val="24"/>
        </w:rPr>
        <w:t>2014</w:t>
      </w:r>
      <w:r>
        <w:rPr>
          <w:rFonts w:asciiTheme="minorEastAsia" w:hAnsiTheme="minorEastAsia"/>
          <w:snapToGrid w:val="0"/>
          <w:szCs w:val="24"/>
        </w:rPr>
        <w:t>《食品安全国家标准 食品经营过程卫生规范》和即将实施的国家标准GB 31661-2025 《食品安全国家标准 调制肉制品生产卫生规范》等多项标准对调制肉制品相关环节生产管理进行了规定。依据相关国家标准和</w:t>
      </w:r>
      <w:r>
        <w:rPr>
          <w:rFonts w:hint="default" w:asciiTheme="minorEastAsia" w:hAnsiTheme="minorEastAsia"/>
          <w:snapToGrid w:val="0"/>
          <w:szCs w:val="24"/>
        </w:rPr>
        <w:t>通辽调理牛肉制品特点</w:t>
      </w:r>
      <w:r>
        <w:rPr>
          <w:rFonts w:asciiTheme="minorEastAsia" w:hAnsiTheme="minorEastAsia"/>
          <w:snapToGrid w:val="0"/>
          <w:szCs w:val="24"/>
        </w:rPr>
        <w:t>对生产加工管理规定进行了细化要求。</w:t>
      </w:r>
    </w:p>
    <w:p w14:paraId="4EB66F9D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1EE70249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　加工技术要求</w:t>
      </w:r>
    </w:p>
    <w:p w14:paraId="0BC94B3B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　原辅料、食品添加剂和食品相关产品要求</w:t>
      </w:r>
    </w:p>
    <w:p w14:paraId="2B36210F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6.1.1　原料</w:t>
      </w:r>
    </w:p>
    <w:p w14:paraId="1D1C1663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6.1.1.1　应符合T/CMATB 3012-2024中的规定。</w:t>
      </w:r>
    </w:p>
    <w:p w14:paraId="6779D163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6.1.1.2　生鲜原料应存放在0℃～4℃的储存库，冷冻原料应存放在-18℃以下的储存库。</w:t>
      </w:r>
    </w:p>
    <w:p w14:paraId="3E9DDE59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382E4880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本条对产品原料进行了要求，尤其是对通辽牛肉调理制品原料来源进行了特定要求。</w:t>
      </w:r>
    </w:p>
    <w:p w14:paraId="3EE03857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71B2947C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6.1.2　辅料</w:t>
      </w:r>
    </w:p>
    <w:p w14:paraId="7E51CB22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6.1.2.1　应符合相关标准的规定。</w:t>
      </w:r>
    </w:p>
    <w:p w14:paraId="5DBD4CD8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6.1.2.2　应查验原辅料的合格证明文件，验收合格后方可入库或使用。</w:t>
      </w:r>
    </w:p>
    <w:p w14:paraId="6F166F06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6.1.2.3　对贮存温度、湿度有特殊要求的，应采取有效控制措施。</w:t>
      </w:r>
    </w:p>
    <w:p w14:paraId="16FB2149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46367E71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本条对产品所使用的辅料使用标准和贮存要求进行了规定。</w:t>
      </w:r>
    </w:p>
    <w:p w14:paraId="6E00DEA4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125E9B2B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6.1.3　食品添加剂和食品相关产品</w:t>
      </w:r>
    </w:p>
    <w:p w14:paraId="430B448A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应符合GB 31661的规定。</w:t>
      </w:r>
    </w:p>
    <w:p w14:paraId="4FC48874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173C049B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本条对产品所使用的食品添加剂以及食品</w:t>
      </w:r>
      <w:r>
        <w:rPr>
          <w:rFonts w:hint="default" w:asciiTheme="minorEastAsia" w:hAnsiTheme="minorEastAsia"/>
          <w:snapToGrid w:val="0"/>
          <w:szCs w:val="24"/>
        </w:rPr>
        <w:t>相关产品</w:t>
      </w:r>
      <w:r>
        <w:rPr>
          <w:rFonts w:asciiTheme="minorEastAsia" w:hAnsiTheme="minorEastAsia"/>
          <w:snapToGrid w:val="0"/>
          <w:szCs w:val="24"/>
        </w:rPr>
        <w:t>的使用标准进行了规定。GB 31661为</w:t>
      </w:r>
      <w:r>
        <w:rPr>
          <w:rFonts w:hint="default" w:asciiTheme="minorEastAsia" w:hAnsiTheme="minorEastAsia"/>
          <w:snapToGrid w:val="0"/>
          <w:szCs w:val="24"/>
        </w:rPr>
        <w:t>即将实施的国家强制性标准，</w:t>
      </w:r>
      <w:r>
        <w:rPr>
          <w:rFonts w:asciiTheme="minorEastAsia" w:hAnsiTheme="minorEastAsia"/>
          <w:snapToGrid w:val="0"/>
          <w:szCs w:val="24"/>
        </w:rPr>
        <w:t>按规定使用。</w:t>
      </w:r>
    </w:p>
    <w:p w14:paraId="67CB0244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103E9405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6.2　原辅料预处理</w:t>
      </w:r>
    </w:p>
    <w:p w14:paraId="754808CB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6.2.1　原料预处理</w:t>
      </w:r>
    </w:p>
    <w:p w14:paraId="4B7EE20F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6.2.1.1　依据通辽牛肉调理制品需求对原料进行解冻、剔骨、分割、分拣、绞制、切块、切片、切丝等全部或部分加工预处理。</w:t>
      </w:r>
    </w:p>
    <w:p w14:paraId="3ED5B207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6.2.1.2　原料需解冻时应符合GB 31661的规定。使用新型解冻方法时还应确保方法的安全性，以使原料免受污染。</w:t>
      </w:r>
    </w:p>
    <w:p w14:paraId="49D2A53D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6.2.1.3　剔骨、分割、分拣、绞制、切块、切片、切丝等加工预处理过程中环境温度不应高于12℃，加工过程中应严格控制原料肉温度在7℃以下，加工操作应符合GB/T 20940的规定，操作宜迅速。</w:t>
      </w:r>
    </w:p>
    <w:p w14:paraId="742794FC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6.2.2　生鲜原料加工前贮存</w:t>
      </w:r>
    </w:p>
    <w:p w14:paraId="3E49128A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生鲜原料进入加工车间后应尽快使用，若6h内不能进行加工，应在℃～4℃环境中冷藏或在-18℃及以下冷冻保存，冷藏时间不应超过3d。</w:t>
      </w:r>
    </w:p>
    <w:p w14:paraId="10964AA8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6.2.3　辅料预处理</w:t>
      </w:r>
    </w:p>
    <w:p w14:paraId="160D9356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应根据通辽牛肉调理制品工艺需求对辅料进行挑选、修整、清洗、混合、溶解、浸泡等全部或部分加工处理，清洗辅料时应使用流动水。需溶解和浸泡的辅料宜当天配制和使用，应确保辅料溶解均匀、浸泡适宜。</w:t>
      </w:r>
    </w:p>
    <w:p w14:paraId="70F7E331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4C977002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参考国家</w:t>
      </w:r>
      <w:r>
        <w:rPr>
          <w:rFonts w:hint="default" w:asciiTheme="minorEastAsia" w:hAnsiTheme="minorEastAsia"/>
          <w:snapToGrid w:val="0"/>
          <w:szCs w:val="24"/>
        </w:rPr>
        <w:t>标准</w:t>
      </w:r>
      <w:r>
        <w:rPr>
          <w:rFonts w:asciiTheme="minorEastAsia" w:hAnsiTheme="minorEastAsia"/>
          <w:snapToGrid w:val="0"/>
          <w:szCs w:val="24"/>
        </w:rPr>
        <w:t>相关规定，结合通辽牛肉调理制品加工特点制定。</w:t>
      </w:r>
    </w:p>
    <w:p w14:paraId="4DBC0F1E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19D0AEEF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6.3　产品投料</w:t>
      </w:r>
    </w:p>
    <w:p w14:paraId="3450F20B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6.3.1　投料操作前，应确保生产设备运行正常，并核验所用原辅料与当前生产产品一致。</w:t>
      </w:r>
    </w:p>
    <w:p w14:paraId="6A3BF703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6.3.2　按企业产品作业指导书的相关规定投入原辅料，并应形成投料记录，投料过程应采取相应防护措施，以防加工品受外来污染。</w:t>
      </w:r>
    </w:p>
    <w:p w14:paraId="570DF0BE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2A30F080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本条对产品投料要求进行了规范。</w:t>
      </w:r>
    </w:p>
    <w:p w14:paraId="51089732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76C2E3E1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6.4　调制加工</w:t>
      </w:r>
    </w:p>
    <w:p w14:paraId="67F44515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6.4.1　通辽牛肉调理制品在进行搅拌、斩拌、注射、滚揉、腌制、灌制、串签等非热加工过程时，操作应符合GB/T 20940的规定，滚揉、腌制加工环境温度应不高于4℃，搅拌、滚揉后产品中心温度应不高于12℃。</w:t>
      </w:r>
    </w:p>
    <w:p w14:paraId="6D406D71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6.4.2　需裹粉、挂糊、上浆和热处理的产品操作时应符合GB 31661的规定。</w:t>
      </w:r>
    </w:p>
    <w:p w14:paraId="3093B3A9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5336693F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依据国家</w:t>
      </w:r>
      <w:r>
        <w:rPr>
          <w:rFonts w:hint="default" w:asciiTheme="minorEastAsia" w:hAnsiTheme="minorEastAsia"/>
          <w:snapToGrid w:val="0"/>
          <w:szCs w:val="24"/>
        </w:rPr>
        <w:t>标准</w:t>
      </w:r>
      <w:r>
        <w:rPr>
          <w:rFonts w:asciiTheme="minorEastAsia" w:hAnsiTheme="minorEastAsia"/>
          <w:snapToGrid w:val="0"/>
          <w:szCs w:val="24"/>
        </w:rPr>
        <w:t>相关规定，结合通辽牛肉调理制品加工特点进行要求。</w:t>
      </w:r>
    </w:p>
    <w:p w14:paraId="173F357F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179AF189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6.5　冷却和冻结</w:t>
      </w:r>
    </w:p>
    <w:p w14:paraId="03A20F6B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6.5.1　冷藏牛肉调理制品</w:t>
      </w:r>
    </w:p>
    <w:p w14:paraId="717F5151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生产冷藏牛肉调理制品时，应在0℃～4℃环境中冷却处理，产品中心温度应降到4℃及以下。</w:t>
      </w:r>
    </w:p>
    <w:p w14:paraId="22850BC5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6.5.2　冷冻牛肉调理制品</w:t>
      </w:r>
    </w:p>
    <w:p w14:paraId="4C3BD275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生产冷冻牛肉调理制品时，应在-23℃以下环境中冻结处理，产品中心温度应降至-18℃及以下。采用速冻工艺的加工过程还应符合GB 31646的相关规定。</w:t>
      </w:r>
    </w:p>
    <w:p w14:paraId="24916684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0BAACE08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依据NY/T 2073-2011 《调理肉制品加工技术规范》和即将实施的国标 GB 31661-2025 《食品安全国家标准 调制肉制品生产卫生规范》相关规定，结合通辽牛肉调理制品加工特点进行要求。</w:t>
      </w:r>
    </w:p>
    <w:p w14:paraId="2BD502F0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7D97BC28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6.6　包装</w:t>
      </w:r>
    </w:p>
    <w:p w14:paraId="7E14DEEE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6.6.1　应符合GB 31661的规定。</w:t>
      </w:r>
    </w:p>
    <w:p w14:paraId="6A9A065B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6.6.2　包装容器与包装材料应符合相关国家标准或行业标准的规定。</w:t>
      </w:r>
    </w:p>
    <w:p w14:paraId="0821361D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6.6.3　需进行清洁消毒的包装材料，清洁消毒后应无可见污渍、异味及机械损伤。</w:t>
      </w:r>
    </w:p>
    <w:p w14:paraId="0B84F735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6.6.4　包装应完整，无损坏，无污染。</w:t>
      </w:r>
    </w:p>
    <w:p w14:paraId="4D8467A0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4B271FFF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依据NY/T 2073-2011 《调理肉制品加工技术规范》和即将实施的国标 GB 31661-2025 《食品安全国家标准 调制肉制品生产卫生规范》相关规定结合产品特性进行制定。</w:t>
      </w:r>
    </w:p>
    <w:p w14:paraId="052124DB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2256D438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　标签、标志、贮存、运输及销售</w:t>
      </w:r>
    </w:p>
    <w:p w14:paraId="75CD906C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7.1　标签与标志</w:t>
      </w:r>
    </w:p>
    <w:p w14:paraId="1737CFEB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7.1.1　产品标签应符合GB 7718和GB 28050的规定。</w:t>
      </w:r>
    </w:p>
    <w:p w14:paraId="4E28D1C7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7.1.2　包装储运图示标志应符合GB/T 191和GB/T 6388的规定。获准使用地理标志产品专用标志的生产者，应按《地理标志专用标志使用管理办法（试行）》的规定在其产品上使用防伪专用标志。</w:t>
      </w:r>
    </w:p>
    <w:p w14:paraId="50D53393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09B6884B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参考相关的国家标准文件确定，重点突出了产品标志可明确使用专用标志的要求，可以明白的展示给消费者产品的属性。</w:t>
      </w:r>
    </w:p>
    <w:p w14:paraId="7E1699E4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53897F2C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7.2　贮存</w:t>
      </w:r>
    </w:p>
    <w:p w14:paraId="42FFC263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7.2.1　应符合GB 14881、GB 31621的相关规定。</w:t>
      </w:r>
    </w:p>
    <w:p w14:paraId="43115D1C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7.2.2　冷藏调理制品应在0℃～4℃储存库贮存，冷冻调理制品应在不高于-18℃的储存库贮存。</w:t>
      </w:r>
    </w:p>
    <w:p w14:paraId="78192D8D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7.2.3　不同类别、批次、规格的调理肉制品应分区堆垛码放，垛与垛之间应有1m以上的通道，堆垛与墙壁和地面应保持适当距离。</w:t>
      </w:r>
    </w:p>
    <w:p w14:paraId="46B65589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7.2.4　应不定期检查堆垛底部及靠墙区域，防止因变形或位移导致距离不足。</w:t>
      </w:r>
    </w:p>
    <w:p w14:paraId="6EB458CA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7.2.5　贮存时应包装完整，不破不漏，避免有毒物质污染。</w:t>
      </w:r>
    </w:p>
    <w:p w14:paraId="58595C5D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0D432558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参考GB14881、GB31621、NY/T 2073等</w:t>
      </w:r>
      <w:r>
        <w:rPr>
          <w:rFonts w:hint="default" w:asciiTheme="minorEastAsia" w:hAnsiTheme="minorEastAsia"/>
          <w:snapToGrid w:val="0"/>
          <w:szCs w:val="24"/>
        </w:rPr>
        <w:t>标准</w:t>
      </w:r>
      <w:r>
        <w:rPr>
          <w:rFonts w:asciiTheme="minorEastAsia" w:hAnsiTheme="minorEastAsia"/>
          <w:snapToGrid w:val="0"/>
          <w:szCs w:val="24"/>
        </w:rPr>
        <w:t>和产品特性要求规定。</w:t>
      </w:r>
    </w:p>
    <w:p w14:paraId="3987D729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22E04ADB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7.3　运输</w:t>
      </w:r>
    </w:p>
    <w:p w14:paraId="2E73F204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7.3.1　应符合</w:t>
      </w:r>
      <w:bookmarkStart w:id="23" w:name="OLE_LINK14"/>
      <w:bookmarkStart w:id="24" w:name="OLE_LINK15"/>
      <w:r>
        <w:rPr>
          <w:rFonts w:asciiTheme="minorEastAsia" w:hAnsiTheme="minorEastAsia"/>
          <w:snapToGrid w:val="0"/>
          <w:szCs w:val="24"/>
        </w:rPr>
        <w:t>GB 14881、GB 31605、GB 31621</w:t>
      </w:r>
      <w:bookmarkEnd w:id="23"/>
      <w:bookmarkEnd w:id="24"/>
      <w:r>
        <w:rPr>
          <w:rFonts w:asciiTheme="minorEastAsia" w:hAnsiTheme="minorEastAsia"/>
          <w:snapToGrid w:val="0"/>
          <w:szCs w:val="24"/>
        </w:rPr>
        <w:t>的相关规定。</w:t>
      </w:r>
    </w:p>
    <w:p w14:paraId="5DFB1C91">
      <w:pPr>
        <w:pStyle w:val="10"/>
        <w:snapToGrid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7.3.2　运输冷藏调理制品时，运输工具内部温度应控制在0℃～4℃，运输冷冻调理制品时，运输工具内部温度应不高于-18℃。</w:t>
      </w:r>
    </w:p>
    <w:p w14:paraId="1984A0A9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7.3.3　应严格控制装卸作业时间，装卸过程中产品温度升高幅度不应超过3℃。</w:t>
      </w:r>
    </w:p>
    <w:p w14:paraId="045F4265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>制定依据：</w:t>
      </w:r>
    </w:p>
    <w:p w14:paraId="6E090DDD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GB 14881、GB 31605、GB 31621是成熟标准，对运输要求进行基础规范，有助于保障运输过程中的产品安全性。参考即将实施的国标 GB 31661-2025 《食品安全国家标准 调制肉制品生产卫生规范》对运输工具温度和装载要求进行规范。通过更加严格的运输要求有利于保障产品运输过程中的品质劣变，提高安全性。</w:t>
      </w:r>
    </w:p>
    <w:p w14:paraId="45A6F988">
      <w:pPr>
        <w:pStyle w:val="30"/>
        <w:ind w:firstLine="482"/>
        <w:contextualSpacing/>
        <w:rPr>
          <w:rFonts w:ascii="Times New Roman"/>
          <w:b/>
          <w:bCs/>
          <w:snapToGrid w:val="0"/>
          <w:sz w:val="24"/>
          <w:szCs w:val="24"/>
        </w:rPr>
      </w:pPr>
      <w:r>
        <w:rPr>
          <w:rFonts w:hint="eastAsia" w:ascii="Times New Roman"/>
          <w:b/>
          <w:bCs/>
          <w:snapToGrid w:val="0"/>
          <w:sz w:val="24"/>
          <w:szCs w:val="24"/>
        </w:rPr>
        <w:t>标准文本：</w:t>
      </w:r>
    </w:p>
    <w:p w14:paraId="4B1D8D46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7.4　销售</w:t>
      </w:r>
    </w:p>
    <w:p w14:paraId="68C938C6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应符合GB 20799的相关规定。</w:t>
      </w:r>
    </w:p>
    <w:p w14:paraId="01D00E77">
      <w:pPr>
        <w:pStyle w:val="10"/>
        <w:snapToGrid/>
        <w:spacing w:beforeAutospacing="0" w:afterAutospacing="0"/>
        <w:ind w:firstLine="482"/>
        <w:contextualSpacing/>
        <w:rPr>
          <w:rFonts w:hint="default" w:asciiTheme="minorEastAsia" w:hAnsiTheme="minorEastAsia"/>
          <w:b/>
          <w:snapToGrid w:val="0"/>
          <w:szCs w:val="24"/>
        </w:rPr>
      </w:pPr>
      <w:r>
        <w:rPr>
          <w:rFonts w:asciiTheme="minorEastAsia" w:hAnsiTheme="minorEastAsia"/>
          <w:b/>
          <w:snapToGrid w:val="0"/>
          <w:szCs w:val="24"/>
        </w:rPr>
        <w:t xml:space="preserve">制定依据： </w:t>
      </w:r>
    </w:p>
    <w:p w14:paraId="4593F4BC">
      <w:pPr>
        <w:pStyle w:val="10"/>
        <w:snapToGrid/>
        <w:spacing w:beforeAutospacing="0" w:afterAutospacing="0"/>
        <w:ind w:firstLine="480"/>
        <w:contextualSpacing/>
        <w:rPr>
          <w:rFonts w:hint="default" w:asciiTheme="minorEastAsia" w:hAnsiTheme="minorEastAsia"/>
          <w:snapToGrid w:val="0"/>
          <w:szCs w:val="24"/>
        </w:rPr>
      </w:pPr>
      <w:r>
        <w:rPr>
          <w:rFonts w:asciiTheme="minorEastAsia" w:hAnsiTheme="minorEastAsia"/>
          <w:snapToGrid w:val="0"/>
          <w:szCs w:val="24"/>
        </w:rPr>
        <w:t>GB 20799是成熟标准，销售要求更加全面，温度要求严于NY/T 2073-2011 《调理肉制品加工技术规范》，有利于销售过程中保障产品原有品质。</w:t>
      </w:r>
    </w:p>
    <w:bookmarkEnd w:id="22"/>
    <w:p w14:paraId="5222BBA9">
      <w:pPr>
        <w:pStyle w:val="2"/>
        <w:keepNext w:val="0"/>
        <w:keepLines w:val="0"/>
        <w:widowControl w:val="0"/>
        <w:adjustRightInd/>
        <w:snapToGrid/>
        <w:ind w:firstLine="560"/>
        <w:contextualSpacing/>
        <w:rPr>
          <w:rFonts w:ascii="Times New Roman" w:hAnsi="Times New Roman" w:cs="Times New Roman"/>
          <w:b w:val="0"/>
          <w:bCs/>
          <w:szCs w:val="44"/>
          <w:lang w:bidi="ar-SA"/>
        </w:rPr>
      </w:pPr>
      <w:r>
        <w:rPr>
          <w:rFonts w:hint="eastAsia" w:ascii="Times New Roman" w:hAnsi="Times New Roman" w:cs="Times New Roman"/>
          <w:b w:val="0"/>
          <w:bCs/>
          <w:szCs w:val="44"/>
          <w:lang w:bidi="ar-SA"/>
        </w:rPr>
        <w:t>三、主要试验（或验证）的分析、综述报告，技术经济论证，预期的经济效果</w:t>
      </w:r>
    </w:p>
    <w:p w14:paraId="2D814C65">
      <w:pPr>
        <w:snapToGrid/>
        <w:ind w:firstLine="48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在本标准制定过程中，中国肉类食品综合研究中心通过企业生产调研、产品特性分析、标准和参考文献研究等多途径进行科学求证。</w:t>
      </w:r>
    </w:p>
    <w:p w14:paraId="0DD1D380">
      <w:pPr>
        <w:pStyle w:val="2"/>
        <w:keepNext w:val="0"/>
        <w:keepLines w:val="0"/>
        <w:widowControl w:val="0"/>
        <w:adjustRightInd/>
        <w:snapToGrid/>
        <w:ind w:firstLine="560"/>
        <w:contextualSpacing/>
        <w:rPr>
          <w:rFonts w:ascii="Times New Roman" w:hAnsi="Times New Roman" w:cs="Times New Roman"/>
          <w:b w:val="0"/>
          <w:bCs/>
          <w:szCs w:val="44"/>
          <w:lang w:bidi="ar-SA"/>
        </w:rPr>
      </w:pPr>
      <w:r>
        <w:rPr>
          <w:rFonts w:hint="eastAsia" w:ascii="Times New Roman" w:hAnsi="Times New Roman" w:cs="Times New Roman"/>
          <w:b w:val="0"/>
          <w:bCs/>
          <w:szCs w:val="44"/>
          <w:lang w:bidi="ar-SA"/>
        </w:rPr>
        <w:t>四、采用国际标准和国外先进标准的程度</w:t>
      </w:r>
    </w:p>
    <w:p w14:paraId="0A669810">
      <w:pPr>
        <w:snapToGrid/>
        <w:ind w:firstLine="48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本文件未采用国际标准。</w:t>
      </w:r>
    </w:p>
    <w:p w14:paraId="5310575C">
      <w:pPr>
        <w:pStyle w:val="2"/>
        <w:keepNext w:val="0"/>
        <w:keepLines w:val="0"/>
        <w:widowControl w:val="0"/>
        <w:adjustRightInd/>
        <w:snapToGrid/>
        <w:ind w:firstLine="560"/>
        <w:contextualSpacing/>
        <w:rPr>
          <w:rFonts w:ascii="Times New Roman" w:hAnsi="Times New Roman" w:cs="Times New Roman"/>
          <w:b w:val="0"/>
          <w:bCs/>
          <w:szCs w:val="44"/>
          <w:lang w:bidi="ar-SA"/>
        </w:rPr>
      </w:pPr>
      <w:bookmarkStart w:id="25" w:name="OLE_LINK130"/>
      <w:r>
        <w:rPr>
          <w:rFonts w:hint="eastAsia" w:ascii="Times New Roman" w:hAnsi="Times New Roman" w:cs="Times New Roman"/>
          <w:b w:val="0"/>
          <w:bCs/>
          <w:szCs w:val="44"/>
          <w:lang w:bidi="ar-SA"/>
        </w:rPr>
        <w:t>五、与现行的法律法规和强制性国家标准的关系</w:t>
      </w:r>
    </w:p>
    <w:bookmarkEnd w:id="25"/>
    <w:p w14:paraId="76DD58EC">
      <w:pPr>
        <w:pStyle w:val="30"/>
        <w:ind w:firstLine="480"/>
        <w:contextualSpacing/>
        <w:rPr>
          <w:snapToGrid w:val="0"/>
          <w:sz w:val="24"/>
          <w:szCs w:val="24"/>
        </w:rPr>
      </w:pPr>
      <w:r>
        <w:rPr>
          <w:rFonts w:hint="eastAsia"/>
          <w:snapToGrid w:val="0"/>
          <w:sz w:val="24"/>
          <w:szCs w:val="24"/>
        </w:rPr>
        <w:t>本文件在现行法律法规的框架内起草，引用或参照相关法律法规的有关规定，与现行法律法规和强制性国家标准保持协调一致，没有矛盾或冲突，并按照</w:t>
      </w:r>
      <w:r>
        <w:rPr>
          <w:snapToGrid w:val="0"/>
          <w:sz w:val="24"/>
          <w:szCs w:val="24"/>
        </w:rPr>
        <w:t xml:space="preserve"> GB/T 1.1-2020《标准化工作导则 第一部分：标准的结构和编写》制定。</w:t>
      </w:r>
    </w:p>
    <w:p w14:paraId="74295681">
      <w:pPr>
        <w:pStyle w:val="2"/>
        <w:keepNext w:val="0"/>
        <w:keepLines w:val="0"/>
        <w:widowControl w:val="0"/>
        <w:adjustRightInd/>
        <w:snapToGrid/>
        <w:ind w:firstLine="560"/>
        <w:contextualSpacing/>
        <w:rPr>
          <w:rFonts w:ascii="Times New Roman" w:hAnsi="Times New Roman" w:cs="Times New Roman"/>
          <w:b w:val="0"/>
          <w:bCs/>
          <w:szCs w:val="44"/>
          <w:lang w:bidi="ar-SA"/>
        </w:rPr>
      </w:pPr>
      <w:bookmarkStart w:id="26" w:name="OLE_LINK132"/>
      <w:r>
        <w:rPr>
          <w:rFonts w:hint="eastAsia" w:ascii="Times New Roman" w:hAnsi="Times New Roman" w:cs="Times New Roman"/>
          <w:b w:val="0"/>
          <w:bCs/>
          <w:szCs w:val="44"/>
          <w:lang w:bidi="ar-SA"/>
        </w:rPr>
        <w:t>六、重大分歧意见的处理经过和依据</w:t>
      </w:r>
    </w:p>
    <w:bookmarkEnd w:id="26"/>
    <w:p w14:paraId="75CA03EC">
      <w:pPr>
        <w:snapToGrid/>
        <w:ind w:firstLine="480"/>
        <w:contextualSpacing/>
        <w:rPr>
          <w:sz w:val="24"/>
          <w:szCs w:val="24"/>
        </w:rPr>
      </w:pPr>
      <w:r>
        <w:rPr>
          <w:sz w:val="24"/>
          <w:szCs w:val="24"/>
        </w:rPr>
        <w:t>无。</w:t>
      </w:r>
    </w:p>
    <w:p w14:paraId="15659841">
      <w:pPr>
        <w:pStyle w:val="2"/>
        <w:keepNext w:val="0"/>
        <w:keepLines w:val="0"/>
        <w:widowControl w:val="0"/>
        <w:adjustRightInd/>
        <w:snapToGrid/>
        <w:ind w:firstLine="560"/>
        <w:contextualSpacing/>
        <w:rPr>
          <w:rFonts w:ascii="Times New Roman" w:hAnsi="Times New Roman" w:cs="Times New Roman"/>
          <w:b w:val="0"/>
          <w:bCs/>
          <w:szCs w:val="44"/>
          <w:lang w:bidi="ar-SA"/>
        </w:rPr>
      </w:pPr>
      <w:r>
        <w:rPr>
          <w:rFonts w:hint="eastAsia" w:ascii="Times New Roman" w:hAnsi="Times New Roman" w:cs="Times New Roman"/>
          <w:b w:val="0"/>
          <w:bCs/>
          <w:szCs w:val="44"/>
          <w:lang w:bidi="ar-SA"/>
        </w:rPr>
        <w:t>七、标准作为强制性或推荐性标准的建议</w:t>
      </w:r>
    </w:p>
    <w:p w14:paraId="0B488070">
      <w:pPr>
        <w:snapToGrid/>
        <w:ind w:firstLine="48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建议本标准作为团体标准发布实施。</w:t>
      </w:r>
    </w:p>
    <w:p w14:paraId="1B7185A1">
      <w:pPr>
        <w:pStyle w:val="2"/>
        <w:keepNext w:val="0"/>
        <w:keepLines w:val="0"/>
        <w:widowControl w:val="0"/>
        <w:adjustRightInd/>
        <w:snapToGrid/>
        <w:ind w:firstLine="560"/>
        <w:contextualSpacing/>
        <w:rPr>
          <w:rFonts w:ascii="Times New Roman" w:hAnsi="Times New Roman" w:cs="Times New Roman"/>
          <w:b w:val="0"/>
          <w:bCs/>
          <w:szCs w:val="44"/>
          <w:lang w:bidi="ar-SA"/>
        </w:rPr>
      </w:pPr>
      <w:bookmarkStart w:id="27" w:name="OLE_LINK131"/>
      <w:r>
        <w:rPr>
          <w:rFonts w:hint="eastAsia" w:ascii="Times New Roman" w:hAnsi="Times New Roman" w:cs="Times New Roman"/>
          <w:b w:val="0"/>
          <w:bCs/>
          <w:szCs w:val="44"/>
          <w:lang w:bidi="ar-SA"/>
        </w:rPr>
        <w:t>八、贯彻标准的要求和措施建议（包括组织实施、技术措施、过渡办法等）</w:t>
      </w:r>
      <w:bookmarkStart w:id="28" w:name="OLE_LINK127"/>
    </w:p>
    <w:p w14:paraId="5588D675">
      <w:pPr>
        <w:snapToGrid/>
        <w:ind w:firstLine="480"/>
        <w:contextualSpacing/>
        <w:textAlignment w:val="baseline"/>
        <w:rPr>
          <w:sz w:val="24"/>
        </w:rPr>
      </w:pPr>
      <w:r>
        <w:rPr>
          <w:rFonts w:hint="eastAsia"/>
          <w:sz w:val="24"/>
        </w:rPr>
        <w:t>系统化组织培训，到企业现场讲解，按照相关标准要求进行推广。整理各级别的典型企业先进性技术，在行业和企业中宣传。</w:t>
      </w:r>
    </w:p>
    <w:bookmarkEnd w:id="27"/>
    <w:p w14:paraId="2E1F7757">
      <w:pPr>
        <w:snapToGrid/>
        <w:ind w:firstLine="560"/>
        <w:contextualSpacing/>
        <w:textAlignment w:val="baseline"/>
        <w:outlineLvl w:val="0"/>
        <w:rPr>
          <w:rFonts w:eastAsia="黑体"/>
          <w:bCs/>
          <w:kern w:val="44"/>
          <w:sz w:val="28"/>
          <w:szCs w:val="44"/>
        </w:rPr>
      </w:pPr>
      <w:r>
        <w:rPr>
          <w:rFonts w:eastAsia="黑体"/>
          <w:bCs/>
          <w:kern w:val="44"/>
          <w:sz w:val="28"/>
          <w:szCs w:val="44"/>
        </w:rPr>
        <w:t>九、废止现行有关标准的建议</w:t>
      </w:r>
    </w:p>
    <w:p w14:paraId="486DD0F4">
      <w:pPr>
        <w:snapToGrid/>
        <w:ind w:firstLine="480"/>
        <w:contextualSpacing/>
        <w:textAlignment w:val="baseline"/>
        <w:rPr>
          <w:sz w:val="24"/>
        </w:rPr>
      </w:pPr>
      <w:r>
        <w:rPr>
          <w:rFonts w:hint="eastAsia"/>
          <w:sz w:val="24"/>
        </w:rPr>
        <w:t>无。</w:t>
      </w:r>
    </w:p>
    <w:bookmarkEnd w:id="28"/>
    <w:p w14:paraId="480D32C8">
      <w:pPr>
        <w:snapToGrid/>
        <w:ind w:firstLine="560"/>
        <w:contextualSpacing/>
        <w:textAlignment w:val="baseline"/>
        <w:outlineLvl w:val="0"/>
        <w:rPr>
          <w:rFonts w:eastAsia="黑体"/>
          <w:bCs/>
          <w:kern w:val="44"/>
          <w:sz w:val="28"/>
          <w:szCs w:val="44"/>
        </w:rPr>
      </w:pPr>
      <w:r>
        <w:rPr>
          <w:rFonts w:eastAsia="黑体"/>
          <w:bCs/>
          <w:kern w:val="44"/>
          <w:sz w:val="28"/>
          <w:szCs w:val="44"/>
        </w:rPr>
        <w:t>十、其他应予说明的事项</w:t>
      </w:r>
    </w:p>
    <w:p w14:paraId="0BB0DD50">
      <w:pPr>
        <w:snapToGrid/>
        <w:ind w:firstLine="480"/>
        <w:contextualSpacing/>
        <w:textAlignment w:val="baseline"/>
        <w:rPr>
          <w:sz w:val="24"/>
        </w:rPr>
      </w:pPr>
      <w:r>
        <w:rPr>
          <w:sz w:val="24"/>
        </w:rPr>
        <w:t>无。</w:t>
      </w:r>
    </w:p>
    <w:p w14:paraId="69FD2FDE">
      <w:pPr>
        <w:snapToGrid/>
        <w:ind w:firstLine="482"/>
        <w:contextualSpacing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</w:t>
      </w:r>
      <w:r>
        <w:rPr>
          <w:bCs/>
          <w:sz w:val="24"/>
          <w:szCs w:val="24"/>
        </w:rPr>
        <w:t>标准编制组</w:t>
      </w:r>
    </w:p>
    <w:p w14:paraId="3D3CEC20">
      <w:pPr>
        <w:snapToGrid/>
        <w:ind w:firstLine="480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202</w:t>
      </w:r>
      <w:r>
        <w:rPr>
          <w:rFonts w:hint="eastAsia"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年6月</w:t>
      </w:r>
    </w:p>
    <w:p w14:paraId="3D8E67B4">
      <w:pPr>
        <w:pStyle w:val="37"/>
        <w:ind w:firstLine="420"/>
        <w:contextualSpacing/>
        <w:rPr>
          <w:snapToGrid w:val="0"/>
        </w:rPr>
      </w:pPr>
      <w:bookmarkStart w:id="29" w:name="OLE_LINK134"/>
      <w:bookmarkEnd w:id="29"/>
      <w:bookmarkStart w:id="30" w:name="OLE_LINK135"/>
      <w:bookmarkEnd w:id="30"/>
      <w:bookmarkStart w:id="31" w:name="OLE_LINK126"/>
      <w:bookmarkEnd w:id="31"/>
      <w:bookmarkStart w:id="32" w:name="OLE_LINK125"/>
      <w:bookmarkEnd w:id="32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1417" w:footer="1134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">
    <w:altName w:val="MV Boli"/>
    <w:panose1 w:val="02020509000000000000"/>
    <w:charset w:val="00"/>
    <w:family w:val="auto"/>
    <w:pitch w:val="default"/>
    <w:sig w:usb0="00000000" w:usb1="00000000" w:usb2="00000000" w:usb3="00000000" w:csb0="00000000" w:csb1="00000000"/>
  </w:font>
  <w:font w:name="細明體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CBA86">
    <w:pPr>
      <w:pStyle w:val="45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AC5E78">
                          <w:pPr>
                            <w:pStyle w:val="8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AC5E78">
                    <w:pPr>
                      <w:pStyle w:val="8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2668905</wp:posOffset>
              </wp:positionH>
              <wp:positionV relativeFrom="paragraph">
                <wp:posOffset>12700</wp:posOffset>
              </wp:positionV>
              <wp:extent cx="23495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495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EF59DE">
                          <w:pPr>
                            <w:pStyle w:val="8"/>
                            <w:ind w:firstLine="0" w:firstLineChars="0"/>
                            <w:jc w:val="center"/>
                          </w:pPr>
                        </w:p>
                        <w:p w14:paraId="771829D0"/>
                        <w:p w14:paraId="2185A86B">
                          <w:pPr>
                            <w:pStyle w:val="8"/>
                            <w:ind w:firstLine="36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0.15pt;margin-top:1pt;height:144pt;width:18.5pt;mso-position-horizontal-relative:margin;z-index:251660288;mso-width-relative:page;mso-height-relative:page;" filled="f" stroked="f" coordsize="21600,21600" o:gfxdata="UEsDBAoAAAAAAIdO4kAAAAAAAAAAAAAAAAAEAAAAZHJzL1BLAwQUAAAACACHTuJA4YwjrNYAAAAJ&#10;AQAADwAAAGRycy9kb3ducmV2LnhtbE2PzU7DMBCE70i8g7VI3KjdUP5CnB4Q9ACnpqjqcRtv4kBs&#10;R7GbFp6e5QTHTzM7O1MsT64XE42xC17DfKZAkK+D6Xyr4X3zcnUPIib0BvvgScMXRViW52cF5iYc&#10;/ZqmKrWCQ3zMUYNNaciljLUlh3EWBvKsNWF0mBjHVpoRjxzuepkpdSsddp4/WBzoyVL9WR0c19i+&#10;Kbf6buzOvWITK7uZVs8fWl9ezNUjiESn9GeG3/p8AyV32oeDN1H0GhaZumarhownsb64uWPeMz8o&#10;BbIs5P8F5Q9QSwMEFAAAAAgAh07iQDQwVSAwAgAAVgQAAA4AAABkcnMvZTJvRG9jLnhtbK1UzY7T&#10;MBC+I/EOlu80bRdWpWq6KlsVIa3YlQri7DpOE8l/2G6T8gDwBpz2wp3n6nPw2Um7sHDYAxd3MjP+&#10;Zr5vxp1dtUqSvXC+Njqno8GQEqG5KWq9zenHD6sXE0p8YLpg0miR04Pw9Gr+/NmssVMxNpWRhXAE&#10;INpPG5vTKgQ7zTLPK6GYHxgrNIKlcYoFfLptVjjWAF3JbDwcXmaNcYV1hgvv4V12QdojuqcAmrKs&#10;uVgavlNChw7VCckCKPmqtp7OU7dlKXi4LUsvApE5BdOQThSBvYlnNp+x6dYxW9W8b4E9pYVHnBSr&#10;NYqeoZYsMLJz9V9QqubOeFOGATcq64gkRcBiNHykzbpiViQukNrbs+j+/8Hy9/s7R+oCm0CJZgoD&#10;P37/drz/efzxlYyiPI31U2StLfJC+8a0MbX3ezgj67Z0Kv6CD0Ec4h7O4oo2EA7n+OLl61eIcIRG&#10;k/FkMkzqZw+3rfPhrTCKRCOnDsNLmrL9jQ+oiNRTSiymzaqWMg1QatLk9PIC+H9EcENqXIwcul6j&#10;FdpN2xPYmOIAXs50i+EtX9UofsN8uGMOm4CG8VbCLY5SGhQxvUVJZdyXf/ljPgaEKCUNNiun/vOO&#10;OUGJfKcxOkCGk+FOxuZk6J26NlhWjAPdJBMXXJAns3RGfcITWsQqCDHNUSun4WReh26/8QS5WCxS&#10;EpbNsnCj15ZH6CiSt4tdgIRJ2ShLp0WvFtYtCd4/jbjPv3+nrIe/g/k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4YwjrNYAAAAJAQAADwAAAAAAAAABACAAAAAiAAAAZHJzL2Rvd25yZXYueG1sUEsB&#10;AhQAFAAAAAgAh07iQDQwVSAwAgAAVgQAAA4AAAAAAAAAAQAgAAAAJ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EF59DE">
                    <w:pPr>
                      <w:pStyle w:val="8"/>
                      <w:ind w:firstLine="0" w:firstLineChars="0"/>
                      <w:jc w:val="center"/>
                    </w:pPr>
                  </w:p>
                  <w:p w14:paraId="771829D0"/>
                  <w:p w14:paraId="2185A86B">
                    <w:pPr>
                      <w:pStyle w:val="8"/>
                      <w:ind w:firstLine="360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FFCACA">
                          <w:pPr>
                            <w:pStyle w:val="8"/>
                            <w:ind w:firstLine="0" w:firstLineChars="0"/>
                            <w:jc w:val="both"/>
                          </w:pPr>
                        </w:p>
                        <w:p w14:paraId="35D3C712"/>
                        <w:p w14:paraId="107C471B">
                          <w:pPr>
                            <w:pStyle w:val="8"/>
                            <w:ind w:firstLine="36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FFCACA">
                    <w:pPr>
                      <w:pStyle w:val="8"/>
                      <w:ind w:firstLine="0" w:firstLineChars="0"/>
                      <w:jc w:val="both"/>
                    </w:pPr>
                  </w:p>
                  <w:p w14:paraId="35D3C712"/>
                  <w:p w14:paraId="107C471B">
                    <w:pPr>
                      <w:pStyle w:val="8"/>
                      <w:ind w:firstLine="36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243AF"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DADC2"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F117F">
    <w:pPr>
      <w:pStyle w:val="9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FFDFA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31EFF"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21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none"/>
      <w:pStyle w:val="3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4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3">
    <w:nsid w:val="61961AC5"/>
    <w:multiLevelType w:val="multilevel"/>
    <w:tmpl w:val="61961AC5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46260FA"/>
    <w:multiLevelType w:val="multilevel"/>
    <w:tmpl w:val="646260FA"/>
    <w:lvl w:ilvl="0" w:tentative="0">
      <w:start w:val="1"/>
      <w:numFmt w:val="decimal"/>
      <w:pStyle w:val="38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53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52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1418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6DBF04F4"/>
    <w:multiLevelType w:val="multilevel"/>
    <w:tmpl w:val="6DBF04F4"/>
    <w:lvl w:ilvl="0" w:tentative="0">
      <w:start w:val="1"/>
      <w:numFmt w:val="none"/>
      <w:pStyle w:val="39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xYmNiMmFiOWI4ODczM2I1MTRmYWYyMWE0NzVhNzQifQ=="/>
  </w:docVars>
  <w:rsids>
    <w:rsidRoot w:val="00A241FB"/>
    <w:rsid w:val="00053493"/>
    <w:rsid w:val="00055771"/>
    <w:rsid w:val="00056124"/>
    <w:rsid w:val="000574ED"/>
    <w:rsid w:val="00076973"/>
    <w:rsid w:val="00081CE3"/>
    <w:rsid w:val="000B115B"/>
    <w:rsid w:val="000D00D0"/>
    <w:rsid w:val="00105208"/>
    <w:rsid w:val="001549B2"/>
    <w:rsid w:val="001559B8"/>
    <w:rsid w:val="00157045"/>
    <w:rsid w:val="00190292"/>
    <w:rsid w:val="001B0A75"/>
    <w:rsid w:val="001D78E4"/>
    <w:rsid w:val="001E1983"/>
    <w:rsid w:val="00250268"/>
    <w:rsid w:val="002A1B70"/>
    <w:rsid w:val="002B0CD9"/>
    <w:rsid w:val="002D213C"/>
    <w:rsid w:val="00322B6B"/>
    <w:rsid w:val="00355578"/>
    <w:rsid w:val="00366739"/>
    <w:rsid w:val="0036785B"/>
    <w:rsid w:val="003752AB"/>
    <w:rsid w:val="00381A9D"/>
    <w:rsid w:val="003835CA"/>
    <w:rsid w:val="003C6F3B"/>
    <w:rsid w:val="003D66B4"/>
    <w:rsid w:val="004279F7"/>
    <w:rsid w:val="00431B68"/>
    <w:rsid w:val="00433588"/>
    <w:rsid w:val="00463B90"/>
    <w:rsid w:val="004959C2"/>
    <w:rsid w:val="004A0B80"/>
    <w:rsid w:val="004C1FA8"/>
    <w:rsid w:val="004F037F"/>
    <w:rsid w:val="00500532"/>
    <w:rsid w:val="0051085F"/>
    <w:rsid w:val="00554AAE"/>
    <w:rsid w:val="005629CB"/>
    <w:rsid w:val="00577718"/>
    <w:rsid w:val="005A7001"/>
    <w:rsid w:val="005C6ADC"/>
    <w:rsid w:val="005C6FAA"/>
    <w:rsid w:val="005F067C"/>
    <w:rsid w:val="005F23A1"/>
    <w:rsid w:val="005F5612"/>
    <w:rsid w:val="00622E60"/>
    <w:rsid w:val="00666B4E"/>
    <w:rsid w:val="00731B99"/>
    <w:rsid w:val="0075417F"/>
    <w:rsid w:val="007558C3"/>
    <w:rsid w:val="007A2962"/>
    <w:rsid w:val="007B14B4"/>
    <w:rsid w:val="008234C0"/>
    <w:rsid w:val="0086527C"/>
    <w:rsid w:val="00895DBD"/>
    <w:rsid w:val="008A07C4"/>
    <w:rsid w:val="008D4B60"/>
    <w:rsid w:val="00920750"/>
    <w:rsid w:val="00965EE4"/>
    <w:rsid w:val="00987ED2"/>
    <w:rsid w:val="009B36D3"/>
    <w:rsid w:val="009B5B08"/>
    <w:rsid w:val="009C4D58"/>
    <w:rsid w:val="009E0EEB"/>
    <w:rsid w:val="009E405C"/>
    <w:rsid w:val="009E4416"/>
    <w:rsid w:val="009E5BB5"/>
    <w:rsid w:val="00A12741"/>
    <w:rsid w:val="00A1443B"/>
    <w:rsid w:val="00A2159E"/>
    <w:rsid w:val="00A241FB"/>
    <w:rsid w:val="00A40FCF"/>
    <w:rsid w:val="00A6252D"/>
    <w:rsid w:val="00AB12C4"/>
    <w:rsid w:val="00AD1339"/>
    <w:rsid w:val="00AD675A"/>
    <w:rsid w:val="00B00B7C"/>
    <w:rsid w:val="00BC240D"/>
    <w:rsid w:val="00BE6FBD"/>
    <w:rsid w:val="00BF08A7"/>
    <w:rsid w:val="00C43D7B"/>
    <w:rsid w:val="00C4675F"/>
    <w:rsid w:val="00C60D45"/>
    <w:rsid w:val="00C97C3D"/>
    <w:rsid w:val="00D23AF4"/>
    <w:rsid w:val="00D258BF"/>
    <w:rsid w:val="00D335D1"/>
    <w:rsid w:val="00D53D8D"/>
    <w:rsid w:val="00D56D84"/>
    <w:rsid w:val="00D63B82"/>
    <w:rsid w:val="00D67FBE"/>
    <w:rsid w:val="00D72B01"/>
    <w:rsid w:val="00D7568F"/>
    <w:rsid w:val="00DA5C53"/>
    <w:rsid w:val="00DF38D6"/>
    <w:rsid w:val="00E23FFF"/>
    <w:rsid w:val="00E44020"/>
    <w:rsid w:val="00E508A4"/>
    <w:rsid w:val="00E722DA"/>
    <w:rsid w:val="00E90020"/>
    <w:rsid w:val="00E954BD"/>
    <w:rsid w:val="00EF0913"/>
    <w:rsid w:val="00EF58E1"/>
    <w:rsid w:val="00F35478"/>
    <w:rsid w:val="00F42024"/>
    <w:rsid w:val="00F424BA"/>
    <w:rsid w:val="00F53F3A"/>
    <w:rsid w:val="00F64E40"/>
    <w:rsid w:val="00F81211"/>
    <w:rsid w:val="00FD399E"/>
    <w:rsid w:val="00FF4AD0"/>
    <w:rsid w:val="010A6538"/>
    <w:rsid w:val="012320E7"/>
    <w:rsid w:val="01344802"/>
    <w:rsid w:val="013F1C5A"/>
    <w:rsid w:val="016C0FA1"/>
    <w:rsid w:val="0176597C"/>
    <w:rsid w:val="019D3EAB"/>
    <w:rsid w:val="01A83C46"/>
    <w:rsid w:val="01B446F6"/>
    <w:rsid w:val="01BD35AB"/>
    <w:rsid w:val="01E30DAF"/>
    <w:rsid w:val="02034E2E"/>
    <w:rsid w:val="020E2058"/>
    <w:rsid w:val="020E3E06"/>
    <w:rsid w:val="023525D8"/>
    <w:rsid w:val="02702D13"/>
    <w:rsid w:val="02B13C3C"/>
    <w:rsid w:val="02D1511D"/>
    <w:rsid w:val="02E42DB9"/>
    <w:rsid w:val="02FE7F5E"/>
    <w:rsid w:val="03424BB5"/>
    <w:rsid w:val="035219A2"/>
    <w:rsid w:val="03923BB3"/>
    <w:rsid w:val="03BB7FBE"/>
    <w:rsid w:val="03CC5D27"/>
    <w:rsid w:val="03D8291E"/>
    <w:rsid w:val="040A4AA1"/>
    <w:rsid w:val="04762137"/>
    <w:rsid w:val="049C7DEF"/>
    <w:rsid w:val="04B8274F"/>
    <w:rsid w:val="0500133C"/>
    <w:rsid w:val="051E333A"/>
    <w:rsid w:val="052F2D69"/>
    <w:rsid w:val="05597A8E"/>
    <w:rsid w:val="057E74F5"/>
    <w:rsid w:val="05BE00F4"/>
    <w:rsid w:val="05D62E8D"/>
    <w:rsid w:val="06514C09"/>
    <w:rsid w:val="0667442D"/>
    <w:rsid w:val="06695EB2"/>
    <w:rsid w:val="069B5E85"/>
    <w:rsid w:val="06C21663"/>
    <w:rsid w:val="07B92A66"/>
    <w:rsid w:val="07C9722F"/>
    <w:rsid w:val="080F6A30"/>
    <w:rsid w:val="081E1587"/>
    <w:rsid w:val="082731AE"/>
    <w:rsid w:val="08AE00F1"/>
    <w:rsid w:val="08D311B1"/>
    <w:rsid w:val="08F72A0F"/>
    <w:rsid w:val="08FE74AC"/>
    <w:rsid w:val="08FF6B9F"/>
    <w:rsid w:val="093C74AB"/>
    <w:rsid w:val="095742E5"/>
    <w:rsid w:val="097A7FD3"/>
    <w:rsid w:val="09BE4364"/>
    <w:rsid w:val="09F047D6"/>
    <w:rsid w:val="0A0425B4"/>
    <w:rsid w:val="0A1E4E03"/>
    <w:rsid w:val="0AD025A1"/>
    <w:rsid w:val="0AD57BB7"/>
    <w:rsid w:val="0AD936FE"/>
    <w:rsid w:val="0AE93662"/>
    <w:rsid w:val="0B257326"/>
    <w:rsid w:val="0B3C19E4"/>
    <w:rsid w:val="0B566A96"/>
    <w:rsid w:val="0B616A0C"/>
    <w:rsid w:val="0B633415"/>
    <w:rsid w:val="0B8909A2"/>
    <w:rsid w:val="0B8D2240"/>
    <w:rsid w:val="0B8E420A"/>
    <w:rsid w:val="0BBE064B"/>
    <w:rsid w:val="0C0A1AE2"/>
    <w:rsid w:val="0C580AA0"/>
    <w:rsid w:val="0C6E02C3"/>
    <w:rsid w:val="0C743400"/>
    <w:rsid w:val="0CA85443"/>
    <w:rsid w:val="0CAD39BE"/>
    <w:rsid w:val="0CDB7809"/>
    <w:rsid w:val="0D2941EA"/>
    <w:rsid w:val="0D4100A2"/>
    <w:rsid w:val="0D4C1C87"/>
    <w:rsid w:val="0D4D216F"/>
    <w:rsid w:val="0D781858"/>
    <w:rsid w:val="0D833756"/>
    <w:rsid w:val="0D8E6B48"/>
    <w:rsid w:val="0D9E5A0B"/>
    <w:rsid w:val="0DDB285F"/>
    <w:rsid w:val="0DE85E53"/>
    <w:rsid w:val="0E0B0C2A"/>
    <w:rsid w:val="0E5B15B9"/>
    <w:rsid w:val="0E9168D0"/>
    <w:rsid w:val="0EF01E71"/>
    <w:rsid w:val="0F046CBD"/>
    <w:rsid w:val="0F3C52CF"/>
    <w:rsid w:val="0F3D323C"/>
    <w:rsid w:val="0F5D36FF"/>
    <w:rsid w:val="0F6A73DB"/>
    <w:rsid w:val="0F9F0794"/>
    <w:rsid w:val="0FA12B66"/>
    <w:rsid w:val="0FA61B22"/>
    <w:rsid w:val="0FAB0EE6"/>
    <w:rsid w:val="0FB029A1"/>
    <w:rsid w:val="0FBA737B"/>
    <w:rsid w:val="0FBE46E2"/>
    <w:rsid w:val="100827DD"/>
    <w:rsid w:val="104F66DC"/>
    <w:rsid w:val="10791E78"/>
    <w:rsid w:val="10D12BCF"/>
    <w:rsid w:val="10FD1C16"/>
    <w:rsid w:val="10FE156B"/>
    <w:rsid w:val="11375E28"/>
    <w:rsid w:val="115832F0"/>
    <w:rsid w:val="11991213"/>
    <w:rsid w:val="119968E4"/>
    <w:rsid w:val="119B31DD"/>
    <w:rsid w:val="11B21219"/>
    <w:rsid w:val="12105979"/>
    <w:rsid w:val="12211934"/>
    <w:rsid w:val="12346D4B"/>
    <w:rsid w:val="124D44D7"/>
    <w:rsid w:val="124E2555"/>
    <w:rsid w:val="12817EF0"/>
    <w:rsid w:val="12BE7183"/>
    <w:rsid w:val="12D60970"/>
    <w:rsid w:val="12DD1229"/>
    <w:rsid w:val="12EF4AAB"/>
    <w:rsid w:val="12EF777D"/>
    <w:rsid w:val="13095F47"/>
    <w:rsid w:val="13223BB5"/>
    <w:rsid w:val="133C534F"/>
    <w:rsid w:val="139323BD"/>
    <w:rsid w:val="13954387"/>
    <w:rsid w:val="13967780"/>
    <w:rsid w:val="13C04BA1"/>
    <w:rsid w:val="13FB7F63"/>
    <w:rsid w:val="13FE2D40"/>
    <w:rsid w:val="144B28BE"/>
    <w:rsid w:val="147862D3"/>
    <w:rsid w:val="149363ED"/>
    <w:rsid w:val="14C87450"/>
    <w:rsid w:val="14D62EA9"/>
    <w:rsid w:val="14E8498B"/>
    <w:rsid w:val="15451DDD"/>
    <w:rsid w:val="157C27DC"/>
    <w:rsid w:val="159E5049"/>
    <w:rsid w:val="15B94470"/>
    <w:rsid w:val="162D0E9D"/>
    <w:rsid w:val="167651EB"/>
    <w:rsid w:val="16887096"/>
    <w:rsid w:val="16B97E07"/>
    <w:rsid w:val="16CB6312"/>
    <w:rsid w:val="16E64352"/>
    <w:rsid w:val="16FE2244"/>
    <w:rsid w:val="17012CAE"/>
    <w:rsid w:val="170B2B2D"/>
    <w:rsid w:val="1728748F"/>
    <w:rsid w:val="175B1444"/>
    <w:rsid w:val="177E3384"/>
    <w:rsid w:val="18100480"/>
    <w:rsid w:val="1840063A"/>
    <w:rsid w:val="185C36C6"/>
    <w:rsid w:val="18601C67"/>
    <w:rsid w:val="186407CC"/>
    <w:rsid w:val="187447AF"/>
    <w:rsid w:val="18925339"/>
    <w:rsid w:val="18B07EB6"/>
    <w:rsid w:val="18B3705E"/>
    <w:rsid w:val="18E15979"/>
    <w:rsid w:val="19033B41"/>
    <w:rsid w:val="190F698A"/>
    <w:rsid w:val="196071E6"/>
    <w:rsid w:val="19633645"/>
    <w:rsid w:val="19703790"/>
    <w:rsid w:val="19826EF3"/>
    <w:rsid w:val="1991251E"/>
    <w:rsid w:val="19923117"/>
    <w:rsid w:val="199D06AA"/>
    <w:rsid w:val="1A0D279E"/>
    <w:rsid w:val="1A126139"/>
    <w:rsid w:val="1A136006"/>
    <w:rsid w:val="1A153EDB"/>
    <w:rsid w:val="1A187AC0"/>
    <w:rsid w:val="1A402B73"/>
    <w:rsid w:val="1A6A4C5B"/>
    <w:rsid w:val="1A6B5E42"/>
    <w:rsid w:val="1A6E456A"/>
    <w:rsid w:val="1ADC289C"/>
    <w:rsid w:val="1AFE6CB6"/>
    <w:rsid w:val="1B0E67CD"/>
    <w:rsid w:val="1B1D4D64"/>
    <w:rsid w:val="1B441CAA"/>
    <w:rsid w:val="1B487F31"/>
    <w:rsid w:val="1B60171F"/>
    <w:rsid w:val="1BA84E74"/>
    <w:rsid w:val="1BB05AD7"/>
    <w:rsid w:val="1BB83309"/>
    <w:rsid w:val="1BEE6D2B"/>
    <w:rsid w:val="1C3109C5"/>
    <w:rsid w:val="1C345105"/>
    <w:rsid w:val="1C735482"/>
    <w:rsid w:val="1C747BBE"/>
    <w:rsid w:val="1C9613CB"/>
    <w:rsid w:val="1CCD7F95"/>
    <w:rsid w:val="1CD1312D"/>
    <w:rsid w:val="1CDE642B"/>
    <w:rsid w:val="1D0C42FA"/>
    <w:rsid w:val="1D4E55A7"/>
    <w:rsid w:val="1D6F763B"/>
    <w:rsid w:val="1DA91785"/>
    <w:rsid w:val="1DC13FCB"/>
    <w:rsid w:val="1DD57E18"/>
    <w:rsid w:val="1E2118ED"/>
    <w:rsid w:val="1E2C7696"/>
    <w:rsid w:val="1E472722"/>
    <w:rsid w:val="1E5D45F1"/>
    <w:rsid w:val="1E7B23D8"/>
    <w:rsid w:val="1E9516DF"/>
    <w:rsid w:val="1EA25BAA"/>
    <w:rsid w:val="1EDD4E34"/>
    <w:rsid w:val="1EDF0F68"/>
    <w:rsid w:val="1EF67D27"/>
    <w:rsid w:val="1F182311"/>
    <w:rsid w:val="1F2A540C"/>
    <w:rsid w:val="1F4B5CA4"/>
    <w:rsid w:val="1F5C21FD"/>
    <w:rsid w:val="1F807DBA"/>
    <w:rsid w:val="1FC104F2"/>
    <w:rsid w:val="1FEA5A5B"/>
    <w:rsid w:val="20112DD2"/>
    <w:rsid w:val="20200092"/>
    <w:rsid w:val="20462DB3"/>
    <w:rsid w:val="20490C29"/>
    <w:rsid w:val="20512A4D"/>
    <w:rsid w:val="20581CF6"/>
    <w:rsid w:val="20801F1B"/>
    <w:rsid w:val="20AC0F62"/>
    <w:rsid w:val="20C1701D"/>
    <w:rsid w:val="20DA2F51"/>
    <w:rsid w:val="211508B6"/>
    <w:rsid w:val="21410F43"/>
    <w:rsid w:val="215F1CC9"/>
    <w:rsid w:val="21986467"/>
    <w:rsid w:val="21E169EA"/>
    <w:rsid w:val="222D0C82"/>
    <w:rsid w:val="222F3BF9"/>
    <w:rsid w:val="2245341D"/>
    <w:rsid w:val="226A7D01"/>
    <w:rsid w:val="2277734E"/>
    <w:rsid w:val="22794E74"/>
    <w:rsid w:val="22801DBF"/>
    <w:rsid w:val="2294222A"/>
    <w:rsid w:val="2295268E"/>
    <w:rsid w:val="22AC524A"/>
    <w:rsid w:val="22DF561F"/>
    <w:rsid w:val="23285432"/>
    <w:rsid w:val="233E16B8"/>
    <w:rsid w:val="23531B69"/>
    <w:rsid w:val="236D7858"/>
    <w:rsid w:val="23810EF1"/>
    <w:rsid w:val="238241FC"/>
    <w:rsid w:val="238D507B"/>
    <w:rsid w:val="239D2DE4"/>
    <w:rsid w:val="23A46F6A"/>
    <w:rsid w:val="23AB5501"/>
    <w:rsid w:val="23D26466"/>
    <w:rsid w:val="23D762F6"/>
    <w:rsid w:val="23E46C65"/>
    <w:rsid w:val="23EE53EE"/>
    <w:rsid w:val="24134BC0"/>
    <w:rsid w:val="241C01AD"/>
    <w:rsid w:val="24D740D4"/>
    <w:rsid w:val="251F15AE"/>
    <w:rsid w:val="253D487F"/>
    <w:rsid w:val="256B2AA0"/>
    <w:rsid w:val="25964932"/>
    <w:rsid w:val="25A20B86"/>
    <w:rsid w:val="26372ABE"/>
    <w:rsid w:val="263E440B"/>
    <w:rsid w:val="264E03C6"/>
    <w:rsid w:val="2670658E"/>
    <w:rsid w:val="2674712B"/>
    <w:rsid w:val="26BB1EFF"/>
    <w:rsid w:val="26CB0767"/>
    <w:rsid w:val="27160EE4"/>
    <w:rsid w:val="27165388"/>
    <w:rsid w:val="272A2BE1"/>
    <w:rsid w:val="273E668C"/>
    <w:rsid w:val="275D3041"/>
    <w:rsid w:val="27884E28"/>
    <w:rsid w:val="27AA5AD0"/>
    <w:rsid w:val="27CB43C4"/>
    <w:rsid w:val="27CE17BE"/>
    <w:rsid w:val="27DA3CB4"/>
    <w:rsid w:val="27EC0729"/>
    <w:rsid w:val="27F1133F"/>
    <w:rsid w:val="281573ED"/>
    <w:rsid w:val="28B46C06"/>
    <w:rsid w:val="28E868B0"/>
    <w:rsid w:val="29407343"/>
    <w:rsid w:val="294C2196"/>
    <w:rsid w:val="295977AD"/>
    <w:rsid w:val="29712D49"/>
    <w:rsid w:val="29746395"/>
    <w:rsid w:val="29F719DA"/>
    <w:rsid w:val="29FE796B"/>
    <w:rsid w:val="2A0C43EF"/>
    <w:rsid w:val="2A3F341C"/>
    <w:rsid w:val="2A587A65"/>
    <w:rsid w:val="2A922F77"/>
    <w:rsid w:val="2A924D25"/>
    <w:rsid w:val="2A9A1CDE"/>
    <w:rsid w:val="2AC62BBC"/>
    <w:rsid w:val="2B0C0F7B"/>
    <w:rsid w:val="2B430715"/>
    <w:rsid w:val="2BBF5FEE"/>
    <w:rsid w:val="2BEB6DE3"/>
    <w:rsid w:val="2BF23774"/>
    <w:rsid w:val="2C6E531E"/>
    <w:rsid w:val="2C950A1B"/>
    <w:rsid w:val="2C9B18A0"/>
    <w:rsid w:val="2CAD5E46"/>
    <w:rsid w:val="2CB901B1"/>
    <w:rsid w:val="2CCB5015"/>
    <w:rsid w:val="2D200D0E"/>
    <w:rsid w:val="2DCA1287"/>
    <w:rsid w:val="2E246E71"/>
    <w:rsid w:val="2E2760CC"/>
    <w:rsid w:val="2E3E7710"/>
    <w:rsid w:val="2E951288"/>
    <w:rsid w:val="2EC929D3"/>
    <w:rsid w:val="2F1D4A35"/>
    <w:rsid w:val="2F2B399A"/>
    <w:rsid w:val="2F2F5238"/>
    <w:rsid w:val="2F4A3E20"/>
    <w:rsid w:val="2F631386"/>
    <w:rsid w:val="2F754B98"/>
    <w:rsid w:val="2F764809"/>
    <w:rsid w:val="2FA653B8"/>
    <w:rsid w:val="2FA84FEB"/>
    <w:rsid w:val="2FCD270C"/>
    <w:rsid w:val="2FE80059"/>
    <w:rsid w:val="2FEE36BA"/>
    <w:rsid w:val="2FF72667"/>
    <w:rsid w:val="30093CDB"/>
    <w:rsid w:val="302419BD"/>
    <w:rsid w:val="30920C54"/>
    <w:rsid w:val="30CA500E"/>
    <w:rsid w:val="3106021B"/>
    <w:rsid w:val="31250826"/>
    <w:rsid w:val="31656344"/>
    <w:rsid w:val="31692558"/>
    <w:rsid w:val="316B4522"/>
    <w:rsid w:val="31701B06"/>
    <w:rsid w:val="31846277"/>
    <w:rsid w:val="31C15A70"/>
    <w:rsid w:val="31D73965"/>
    <w:rsid w:val="31E63BA8"/>
    <w:rsid w:val="31F41E38"/>
    <w:rsid w:val="320846B6"/>
    <w:rsid w:val="320C360F"/>
    <w:rsid w:val="321150C9"/>
    <w:rsid w:val="321B5F48"/>
    <w:rsid w:val="325A6A70"/>
    <w:rsid w:val="325D20BC"/>
    <w:rsid w:val="32601BAD"/>
    <w:rsid w:val="32875985"/>
    <w:rsid w:val="32C0264B"/>
    <w:rsid w:val="32C20171"/>
    <w:rsid w:val="32D20837"/>
    <w:rsid w:val="33354DE7"/>
    <w:rsid w:val="33CA3782"/>
    <w:rsid w:val="33D62126"/>
    <w:rsid w:val="34541E69"/>
    <w:rsid w:val="34594B05"/>
    <w:rsid w:val="346C4839"/>
    <w:rsid w:val="34983FA8"/>
    <w:rsid w:val="34A166B5"/>
    <w:rsid w:val="34D32B0A"/>
    <w:rsid w:val="35447564"/>
    <w:rsid w:val="35496BD8"/>
    <w:rsid w:val="35585FE3"/>
    <w:rsid w:val="35675000"/>
    <w:rsid w:val="358E6A31"/>
    <w:rsid w:val="35B50461"/>
    <w:rsid w:val="35D24B6F"/>
    <w:rsid w:val="35D271EC"/>
    <w:rsid w:val="35E7778A"/>
    <w:rsid w:val="35F165B8"/>
    <w:rsid w:val="360928D9"/>
    <w:rsid w:val="36653C36"/>
    <w:rsid w:val="367479D5"/>
    <w:rsid w:val="367C0D08"/>
    <w:rsid w:val="36877D33"/>
    <w:rsid w:val="368C2F70"/>
    <w:rsid w:val="36AA5AEC"/>
    <w:rsid w:val="36B9188B"/>
    <w:rsid w:val="36C00E6C"/>
    <w:rsid w:val="36D14E27"/>
    <w:rsid w:val="36FA437E"/>
    <w:rsid w:val="36FA5E94"/>
    <w:rsid w:val="36FF1994"/>
    <w:rsid w:val="3700359C"/>
    <w:rsid w:val="372E2279"/>
    <w:rsid w:val="372F1B4E"/>
    <w:rsid w:val="373F3FD8"/>
    <w:rsid w:val="37557806"/>
    <w:rsid w:val="37607F59"/>
    <w:rsid w:val="37621F23"/>
    <w:rsid w:val="378620B5"/>
    <w:rsid w:val="37A83DDA"/>
    <w:rsid w:val="37B54749"/>
    <w:rsid w:val="37C00DF6"/>
    <w:rsid w:val="37C16C4A"/>
    <w:rsid w:val="37EF43CD"/>
    <w:rsid w:val="385176F1"/>
    <w:rsid w:val="38657F1D"/>
    <w:rsid w:val="386D5023"/>
    <w:rsid w:val="38753903"/>
    <w:rsid w:val="38961E84"/>
    <w:rsid w:val="38A81BB8"/>
    <w:rsid w:val="38E73F8A"/>
    <w:rsid w:val="38FA397D"/>
    <w:rsid w:val="3951224F"/>
    <w:rsid w:val="395A5062"/>
    <w:rsid w:val="396B1563"/>
    <w:rsid w:val="39801C8D"/>
    <w:rsid w:val="399700F3"/>
    <w:rsid w:val="39AB5E03"/>
    <w:rsid w:val="3A0472C2"/>
    <w:rsid w:val="3A86752C"/>
    <w:rsid w:val="3A8D1D3B"/>
    <w:rsid w:val="3A9248CD"/>
    <w:rsid w:val="3A963B7B"/>
    <w:rsid w:val="3AC76C6D"/>
    <w:rsid w:val="3ADE7B13"/>
    <w:rsid w:val="3AFB06C4"/>
    <w:rsid w:val="3B270540"/>
    <w:rsid w:val="3B464036"/>
    <w:rsid w:val="3B806E1C"/>
    <w:rsid w:val="3BAC151A"/>
    <w:rsid w:val="3BEA2ACC"/>
    <w:rsid w:val="3C1063F2"/>
    <w:rsid w:val="3C7B7D0F"/>
    <w:rsid w:val="3C850B8E"/>
    <w:rsid w:val="3C8C04B4"/>
    <w:rsid w:val="3C990195"/>
    <w:rsid w:val="3CE641EC"/>
    <w:rsid w:val="3CF4186F"/>
    <w:rsid w:val="3D0D5511"/>
    <w:rsid w:val="3D1617E6"/>
    <w:rsid w:val="3D730EA3"/>
    <w:rsid w:val="3DA44BB4"/>
    <w:rsid w:val="3DD07BE6"/>
    <w:rsid w:val="3DD213FB"/>
    <w:rsid w:val="3DFB6D49"/>
    <w:rsid w:val="3E095FF4"/>
    <w:rsid w:val="3E260CC7"/>
    <w:rsid w:val="3E4D7489"/>
    <w:rsid w:val="3E50084E"/>
    <w:rsid w:val="3E7A33B3"/>
    <w:rsid w:val="3E8155E1"/>
    <w:rsid w:val="3E864749"/>
    <w:rsid w:val="3EB94B1E"/>
    <w:rsid w:val="3F1104B7"/>
    <w:rsid w:val="3F1461F9"/>
    <w:rsid w:val="3F1E7077"/>
    <w:rsid w:val="3F214472"/>
    <w:rsid w:val="3F261A88"/>
    <w:rsid w:val="3F2A5A1C"/>
    <w:rsid w:val="3F3A21A7"/>
    <w:rsid w:val="3F4A203A"/>
    <w:rsid w:val="3F5D08B0"/>
    <w:rsid w:val="3F692745"/>
    <w:rsid w:val="3FEE4BA1"/>
    <w:rsid w:val="3FF102E8"/>
    <w:rsid w:val="3FF616FF"/>
    <w:rsid w:val="40034B77"/>
    <w:rsid w:val="4024246B"/>
    <w:rsid w:val="40295CD4"/>
    <w:rsid w:val="40395CDB"/>
    <w:rsid w:val="405C39B3"/>
    <w:rsid w:val="40610FCA"/>
    <w:rsid w:val="40645D6B"/>
    <w:rsid w:val="40C65469"/>
    <w:rsid w:val="40DD2DB6"/>
    <w:rsid w:val="40F5742A"/>
    <w:rsid w:val="41032081"/>
    <w:rsid w:val="41734331"/>
    <w:rsid w:val="41961147"/>
    <w:rsid w:val="419838E2"/>
    <w:rsid w:val="41DD0007"/>
    <w:rsid w:val="420C765B"/>
    <w:rsid w:val="42311ED6"/>
    <w:rsid w:val="423B584A"/>
    <w:rsid w:val="425863FC"/>
    <w:rsid w:val="425D1C65"/>
    <w:rsid w:val="427E2E38"/>
    <w:rsid w:val="42A67168"/>
    <w:rsid w:val="42EA174A"/>
    <w:rsid w:val="434713C3"/>
    <w:rsid w:val="437159C8"/>
    <w:rsid w:val="438A0837"/>
    <w:rsid w:val="438D657A"/>
    <w:rsid w:val="43A15B81"/>
    <w:rsid w:val="43C83525"/>
    <w:rsid w:val="43C875B2"/>
    <w:rsid w:val="44261675"/>
    <w:rsid w:val="44496945"/>
    <w:rsid w:val="448C11DC"/>
    <w:rsid w:val="4493196E"/>
    <w:rsid w:val="449F4A1B"/>
    <w:rsid w:val="44AE67A8"/>
    <w:rsid w:val="44E65F41"/>
    <w:rsid w:val="45154A79"/>
    <w:rsid w:val="4517434D"/>
    <w:rsid w:val="45336CAD"/>
    <w:rsid w:val="45471BCD"/>
    <w:rsid w:val="45537EC0"/>
    <w:rsid w:val="45537FBF"/>
    <w:rsid w:val="46011AD1"/>
    <w:rsid w:val="460D5750"/>
    <w:rsid w:val="465E7D59"/>
    <w:rsid w:val="46784F17"/>
    <w:rsid w:val="46AE0CE1"/>
    <w:rsid w:val="46BB4F28"/>
    <w:rsid w:val="46BF2EEE"/>
    <w:rsid w:val="46CE3ABD"/>
    <w:rsid w:val="46D85CF7"/>
    <w:rsid w:val="46ED1809"/>
    <w:rsid w:val="46F5421F"/>
    <w:rsid w:val="471072A6"/>
    <w:rsid w:val="47154BCB"/>
    <w:rsid w:val="472F6C18"/>
    <w:rsid w:val="473F5F86"/>
    <w:rsid w:val="475353E4"/>
    <w:rsid w:val="47865059"/>
    <w:rsid w:val="47AE1288"/>
    <w:rsid w:val="47D00B20"/>
    <w:rsid w:val="480A48AE"/>
    <w:rsid w:val="48180B08"/>
    <w:rsid w:val="48533EA6"/>
    <w:rsid w:val="4882735A"/>
    <w:rsid w:val="48A513F4"/>
    <w:rsid w:val="490443C2"/>
    <w:rsid w:val="492928A1"/>
    <w:rsid w:val="4944592C"/>
    <w:rsid w:val="495A6EFE"/>
    <w:rsid w:val="496D4E83"/>
    <w:rsid w:val="49A308A5"/>
    <w:rsid w:val="49B74350"/>
    <w:rsid w:val="49C83E68"/>
    <w:rsid w:val="49D57D20"/>
    <w:rsid w:val="49DE63B9"/>
    <w:rsid w:val="49F01F40"/>
    <w:rsid w:val="4A05330E"/>
    <w:rsid w:val="4A0A0924"/>
    <w:rsid w:val="4A11580F"/>
    <w:rsid w:val="4A127A55"/>
    <w:rsid w:val="4A161077"/>
    <w:rsid w:val="4A1B0AA1"/>
    <w:rsid w:val="4A301A0D"/>
    <w:rsid w:val="4A4831FA"/>
    <w:rsid w:val="4A656F68"/>
    <w:rsid w:val="4AB21733"/>
    <w:rsid w:val="4ABE526B"/>
    <w:rsid w:val="4ACC50B4"/>
    <w:rsid w:val="4B103D18"/>
    <w:rsid w:val="4B157AF6"/>
    <w:rsid w:val="4B166E55"/>
    <w:rsid w:val="4B1F5173"/>
    <w:rsid w:val="4B2114D0"/>
    <w:rsid w:val="4B46773A"/>
    <w:rsid w:val="4B756271"/>
    <w:rsid w:val="4B904E59"/>
    <w:rsid w:val="4BAE52DF"/>
    <w:rsid w:val="4BB26B7D"/>
    <w:rsid w:val="4BBD4578"/>
    <w:rsid w:val="4BC0573E"/>
    <w:rsid w:val="4BE331DB"/>
    <w:rsid w:val="4C17284F"/>
    <w:rsid w:val="4C2A532E"/>
    <w:rsid w:val="4C4A325A"/>
    <w:rsid w:val="4C60482B"/>
    <w:rsid w:val="4CE03BBE"/>
    <w:rsid w:val="4CEC4311"/>
    <w:rsid w:val="4CFF18E3"/>
    <w:rsid w:val="4D0F7FFF"/>
    <w:rsid w:val="4D1B653C"/>
    <w:rsid w:val="4D233589"/>
    <w:rsid w:val="4D291ACF"/>
    <w:rsid w:val="4D7C38E7"/>
    <w:rsid w:val="4D9B26AF"/>
    <w:rsid w:val="4DA54E06"/>
    <w:rsid w:val="4DA625B9"/>
    <w:rsid w:val="4DC808DA"/>
    <w:rsid w:val="4E102E72"/>
    <w:rsid w:val="4E2C378D"/>
    <w:rsid w:val="4E5A52AA"/>
    <w:rsid w:val="4EC67F4A"/>
    <w:rsid w:val="4F196F13"/>
    <w:rsid w:val="4F5A029F"/>
    <w:rsid w:val="4F6603AB"/>
    <w:rsid w:val="4F732AC8"/>
    <w:rsid w:val="4F960564"/>
    <w:rsid w:val="4FD93BBD"/>
    <w:rsid w:val="501A2F43"/>
    <w:rsid w:val="50501520"/>
    <w:rsid w:val="50505E54"/>
    <w:rsid w:val="50552B58"/>
    <w:rsid w:val="506C497D"/>
    <w:rsid w:val="506F403E"/>
    <w:rsid w:val="50952E17"/>
    <w:rsid w:val="509E5922"/>
    <w:rsid w:val="50BC4CE1"/>
    <w:rsid w:val="50C31580"/>
    <w:rsid w:val="50CC366C"/>
    <w:rsid w:val="50DF2645"/>
    <w:rsid w:val="50F11EF6"/>
    <w:rsid w:val="51165E00"/>
    <w:rsid w:val="512632A1"/>
    <w:rsid w:val="51314464"/>
    <w:rsid w:val="51583D23"/>
    <w:rsid w:val="517939E1"/>
    <w:rsid w:val="51895DA1"/>
    <w:rsid w:val="51975F78"/>
    <w:rsid w:val="51C55131"/>
    <w:rsid w:val="51CE5135"/>
    <w:rsid w:val="51DF4444"/>
    <w:rsid w:val="52021EE1"/>
    <w:rsid w:val="52173BDE"/>
    <w:rsid w:val="522E2CD6"/>
    <w:rsid w:val="523B25CC"/>
    <w:rsid w:val="524B3C28"/>
    <w:rsid w:val="528154FB"/>
    <w:rsid w:val="528D20F2"/>
    <w:rsid w:val="52974D1F"/>
    <w:rsid w:val="529D006B"/>
    <w:rsid w:val="52A63B42"/>
    <w:rsid w:val="52EF60DE"/>
    <w:rsid w:val="530C2833"/>
    <w:rsid w:val="53257BD0"/>
    <w:rsid w:val="53283BC9"/>
    <w:rsid w:val="53364538"/>
    <w:rsid w:val="534A1D91"/>
    <w:rsid w:val="53CC27A6"/>
    <w:rsid w:val="53D83492"/>
    <w:rsid w:val="53DD2C05"/>
    <w:rsid w:val="53F35F85"/>
    <w:rsid w:val="53F71F19"/>
    <w:rsid w:val="54224ABC"/>
    <w:rsid w:val="5422686A"/>
    <w:rsid w:val="542F0E98"/>
    <w:rsid w:val="5435201D"/>
    <w:rsid w:val="54996B2C"/>
    <w:rsid w:val="54F732A7"/>
    <w:rsid w:val="54F8298C"/>
    <w:rsid w:val="550120CD"/>
    <w:rsid w:val="550A31C4"/>
    <w:rsid w:val="556952B8"/>
    <w:rsid w:val="5570192F"/>
    <w:rsid w:val="5572737D"/>
    <w:rsid w:val="55985036"/>
    <w:rsid w:val="55A7171D"/>
    <w:rsid w:val="55B55BE8"/>
    <w:rsid w:val="55C53951"/>
    <w:rsid w:val="55E30B5B"/>
    <w:rsid w:val="55E55DA1"/>
    <w:rsid w:val="56091A90"/>
    <w:rsid w:val="561A38B3"/>
    <w:rsid w:val="56226FF5"/>
    <w:rsid w:val="566C201F"/>
    <w:rsid w:val="566D41FE"/>
    <w:rsid w:val="56BC10FE"/>
    <w:rsid w:val="57012BCC"/>
    <w:rsid w:val="57060A82"/>
    <w:rsid w:val="577206C5"/>
    <w:rsid w:val="57B7551B"/>
    <w:rsid w:val="57B96D41"/>
    <w:rsid w:val="57FD5624"/>
    <w:rsid w:val="58697AD0"/>
    <w:rsid w:val="586A09E8"/>
    <w:rsid w:val="589715D5"/>
    <w:rsid w:val="58A3441E"/>
    <w:rsid w:val="58B2640F"/>
    <w:rsid w:val="58E10AA2"/>
    <w:rsid w:val="58FA6008"/>
    <w:rsid w:val="590C382F"/>
    <w:rsid w:val="5916420F"/>
    <w:rsid w:val="593257A1"/>
    <w:rsid w:val="593B22E3"/>
    <w:rsid w:val="5955323E"/>
    <w:rsid w:val="599E2E37"/>
    <w:rsid w:val="59AC7302"/>
    <w:rsid w:val="59B47F65"/>
    <w:rsid w:val="59C347FC"/>
    <w:rsid w:val="59F82547"/>
    <w:rsid w:val="5A0F3B18"/>
    <w:rsid w:val="5A225816"/>
    <w:rsid w:val="5A3D0E9C"/>
    <w:rsid w:val="5A3D61AC"/>
    <w:rsid w:val="5A957D96"/>
    <w:rsid w:val="5A971D60"/>
    <w:rsid w:val="5A9D2799"/>
    <w:rsid w:val="5AB10D16"/>
    <w:rsid w:val="5AC468CD"/>
    <w:rsid w:val="5B0F555F"/>
    <w:rsid w:val="5B525C87"/>
    <w:rsid w:val="5BA1276A"/>
    <w:rsid w:val="5BA81D4B"/>
    <w:rsid w:val="5BD0155F"/>
    <w:rsid w:val="5BDE576D"/>
    <w:rsid w:val="5BF62AB6"/>
    <w:rsid w:val="5C016B6B"/>
    <w:rsid w:val="5C076A71"/>
    <w:rsid w:val="5C237623"/>
    <w:rsid w:val="5C871960"/>
    <w:rsid w:val="5C912449"/>
    <w:rsid w:val="5CA22C3E"/>
    <w:rsid w:val="5CA94D77"/>
    <w:rsid w:val="5CE40B61"/>
    <w:rsid w:val="5D1F6E63"/>
    <w:rsid w:val="5D635AE5"/>
    <w:rsid w:val="5D6D6DA8"/>
    <w:rsid w:val="5D737731"/>
    <w:rsid w:val="5DAA3B58"/>
    <w:rsid w:val="5DB625DB"/>
    <w:rsid w:val="5DEB46D1"/>
    <w:rsid w:val="5E2558D5"/>
    <w:rsid w:val="5E3C570B"/>
    <w:rsid w:val="5E4D6BE5"/>
    <w:rsid w:val="5E602469"/>
    <w:rsid w:val="5E6B385C"/>
    <w:rsid w:val="5E8F7367"/>
    <w:rsid w:val="5E9067F4"/>
    <w:rsid w:val="5E9A016C"/>
    <w:rsid w:val="5ED01F28"/>
    <w:rsid w:val="5EEC1F4F"/>
    <w:rsid w:val="5EF3152F"/>
    <w:rsid w:val="5F061262"/>
    <w:rsid w:val="5F414DFD"/>
    <w:rsid w:val="5F553F98"/>
    <w:rsid w:val="5F751F44"/>
    <w:rsid w:val="5F950838"/>
    <w:rsid w:val="5FE80968"/>
    <w:rsid w:val="5FEB0458"/>
    <w:rsid w:val="602618C4"/>
    <w:rsid w:val="602A4D59"/>
    <w:rsid w:val="603040BD"/>
    <w:rsid w:val="6059795A"/>
    <w:rsid w:val="60600E46"/>
    <w:rsid w:val="606579CA"/>
    <w:rsid w:val="60B116A2"/>
    <w:rsid w:val="60DB227B"/>
    <w:rsid w:val="60F94494"/>
    <w:rsid w:val="61030EA5"/>
    <w:rsid w:val="613D4CE3"/>
    <w:rsid w:val="615D199E"/>
    <w:rsid w:val="61750921"/>
    <w:rsid w:val="61813DAD"/>
    <w:rsid w:val="618A5A4B"/>
    <w:rsid w:val="619D39D4"/>
    <w:rsid w:val="61E15FB7"/>
    <w:rsid w:val="61FF3D0A"/>
    <w:rsid w:val="61FF5F26"/>
    <w:rsid w:val="622747FC"/>
    <w:rsid w:val="62613170"/>
    <w:rsid w:val="62683FE2"/>
    <w:rsid w:val="62AA3BD4"/>
    <w:rsid w:val="62D71495"/>
    <w:rsid w:val="633204A2"/>
    <w:rsid w:val="634E1496"/>
    <w:rsid w:val="63B35731"/>
    <w:rsid w:val="640F0BB9"/>
    <w:rsid w:val="64187FAD"/>
    <w:rsid w:val="644A1BF1"/>
    <w:rsid w:val="645C36D2"/>
    <w:rsid w:val="64675289"/>
    <w:rsid w:val="64857962"/>
    <w:rsid w:val="648B6D4F"/>
    <w:rsid w:val="65102E3B"/>
    <w:rsid w:val="65242442"/>
    <w:rsid w:val="652C4C9D"/>
    <w:rsid w:val="6530528B"/>
    <w:rsid w:val="654E37B5"/>
    <w:rsid w:val="655F16CC"/>
    <w:rsid w:val="65F170C4"/>
    <w:rsid w:val="664E56D5"/>
    <w:rsid w:val="66644AC0"/>
    <w:rsid w:val="667F18FA"/>
    <w:rsid w:val="66843D80"/>
    <w:rsid w:val="66B00285"/>
    <w:rsid w:val="66B35E49"/>
    <w:rsid w:val="66C814F3"/>
    <w:rsid w:val="66C81DC2"/>
    <w:rsid w:val="66E04A8F"/>
    <w:rsid w:val="67010561"/>
    <w:rsid w:val="67185E65"/>
    <w:rsid w:val="67210478"/>
    <w:rsid w:val="672944EE"/>
    <w:rsid w:val="67527824"/>
    <w:rsid w:val="6773145F"/>
    <w:rsid w:val="678528D6"/>
    <w:rsid w:val="67B850C4"/>
    <w:rsid w:val="67E81E4D"/>
    <w:rsid w:val="68060525"/>
    <w:rsid w:val="681F3395"/>
    <w:rsid w:val="6832131A"/>
    <w:rsid w:val="685017A0"/>
    <w:rsid w:val="68B95597"/>
    <w:rsid w:val="68EF0FB9"/>
    <w:rsid w:val="690B5F52"/>
    <w:rsid w:val="691900BF"/>
    <w:rsid w:val="69623539"/>
    <w:rsid w:val="69935DE8"/>
    <w:rsid w:val="69AC6EAA"/>
    <w:rsid w:val="69C560CB"/>
    <w:rsid w:val="69C83892"/>
    <w:rsid w:val="69DC49DD"/>
    <w:rsid w:val="69E5416A"/>
    <w:rsid w:val="69F36887"/>
    <w:rsid w:val="6A02377A"/>
    <w:rsid w:val="6A5079C7"/>
    <w:rsid w:val="6A731776"/>
    <w:rsid w:val="6A7F58F7"/>
    <w:rsid w:val="6AB64D09"/>
    <w:rsid w:val="6ABC311D"/>
    <w:rsid w:val="6AD55F8D"/>
    <w:rsid w:val="6AF929BB"/>
    <w:rsid w:val="6B005C59"/>
    <w:rsid w:val="6B0D3978"/>
    <w:rsid w:val="6BAE0CB8"/>
    <w:rsid w:val="6BC87862"/>
    <w:rsid w:val="6BE0466C"/>
    <w:rsid w:val="6BE41CAE"/>
    <w:rsid w:val="6C2A2657"/>
    <w:rsid w:val="6C474C68"/>
    <w:rsid w:val="6C5010E4"/>
    <w:rsid w:val="6C673034"/>
    <w:rsid w:val="6C6D7387"/>
    <w:rsid w:val="6CD7423E"/>
    <w:rsid w:val="6CED1CB3"/>
    <w:rsid w:val="6CF523F3"/>
    <w:rsid w:val="6D65184A"/>
    <w:rsid w:val="6D913503"/>
    <w:rsid w:val="6DA47310"/>
    <w:rsid w:val="6DAD31F1"/>
    <w:rsid w:val="6DBE35C1"/>
    <w:rsid w:val="6DDB7D5E"/>
    <w:rsid w:val="6DDE15FC"/>
    <w:rsid w:val="6DF9527C"/>
    <w:rsid w:val="6E0F7A08"/>
    <w:rsid w:val="6E18118C"/>
    <w:rsid w:val="6E494CC8"/>
    <w:rsid w:val="6E7F1EDB"/>
    <w:rsid w:val="6E8913E8"/>
    <w:rsid w:val="6E8B52E0"/>
    <w:rsid w:val="6EDF73DA"/>
    <w:rsid w:val="6EF235B1"/>
    <w:rsid w:val="6EFA1F87"/>
    <w:rsid w:val="6F395A2B"/>
    <w:rsid w:val="6F3F60CB"/>
    <w:rsid w:val="6F487EA1"/>
    <w:rsid w:val="6F512931"/>
    <w:rsid w:val="6F841BAF"/>
    <w:rsid w:val="6F92269E"/>
    <w:rsid w:val="6FC00FB9"/>
    <w:rsid w:val="6FC860C0"/>
    <w:rsid w:val="70044AAA"/>
    <w:rsid w:val="70085F95"/>
    <w:rsid w:val="70353BEA"/>
    <w:rsid w:val="705359D7"/>
    <w:rsid w:val="708B393C"/>
    <w:rsid w:val="709661BE"/>
    <w:rsid w:val="70BD7BEF"/>
    <w:rsid w:val="70F53B43"/>
    <w:rsid w:val="71306613"/>
    <w:rsid w:val="71341C5F"/>
    <w:rsid w:val="714E0AE7"/>
    <w:rsid w:val="716E5301"/>
    <w:rsid w:val="71810C1C"/>
    <w:rsid w:val="71D74312"/>
    <w:rsid w:val="71FD4747"/>
    <w:rsid w:val="72180648"/>
    <w:rsid w:val="721E646B"/>
    <w:rsid w:val="72231CD3"/>
    <w:rsid w:val="723D2D95"/>
    <w:rsid w:val="723D7C42"/>
    <w:rsid w:val="726522EC"/>
    <w:rsid w:val="728B1D53"/>
    <w:rsid w:val="72C74D55"/>
    <w:rsid w:val="72E90827"/>
    <w:rsid w:val="730833A3"/>
    <w:rsid w:val="730B4C41"/>
    <w:rsid w:val="735C7ED0"/>
    <w:rsid w:val="73BA2088"/>
    <w:rsid w:val="73E144F6"/>
    <w:rsid w:val="741B1591"/>
    <w:rsid w:val="747D391D"/>
    <w:rsid w:val="74907796"/>
    <w:rsid w:val="74A72748"/>
    <w:rsid w:val="74EB6AD9"/>
    <w:rsid w:val="74F160B9"/>
    <w:rsid w:val="75385A96"/>
    <w:rsid w:val="754A3647"/>
    <w:rsid w:val="75AE7B06"/>
    <w:rsid w:val="75CC6074"/>
    <w:rsid w:val="75D97A47"/>
    <w:rsid w:val="76676633"/>
    <w:rsid w:val="76805946"/>
    <w:rsid w:val="769907B6"/>
    <w:rsid w:val="76A50FBD"/>
    <w:rsid w:val="76DA32A9"/>
    <w:rsid w:val="773A78A3"/>
    <w:rsid w:val="773F7AD4"/>
    <w:rsid w:val="77C655DB"/>
    <w:rsid w:val="77CB2BF1"/>
    <w:rsid w:val="77D045B1"/>
    <w:rsid w:val="78A952F8"/>
    <w:rsid w:val="78CC3EAC"/>
    <w:rsid w:val="78F04976"/>
    <w:rsid w:val="790C34C1"/>
    <w:rsid w:val="7924080B"/>
    <w:rsid w:val="7925094A"/>
    <w:rsid w:val="79256331"/>
    <w:rsid w:val="79361A2C"/>
    <w:rsid w:val="79536369"/>
    <w:rsid w:val="79703A50"/>
    <w:rsid w:val="79764A39"/>
    <w:rsid w:val="79984D55"/>
    <w:rsid w:val="79A656C4"/>
    <w:rsid w:val="79C01278"/>
    <w:rsid w:val="79F503F9"/>
    <w:rsid w:val="7A0C01A2"/>
    <w:rsid w:val="7A2605B3"/>
    <w:rsid w:val="7A3C1B84"/>
    <w:rsid w:val="7A5073DE"/>
    <w:rsid w:val="7A720B98"/>
    <w:rsid w:val="7A9244A9"/>
    <w:rsid w:val="7AA02113"/>
    <w:rsid w:val="7AAA2F92"/>
    <w:rsid w:val="7ACA3BF4"/>
    <w:rsid w:val="7ACF47A6"/>
    <w:rsid w:val="7AE10883"/>
    <w:rsid w:val="7AEA5A84"/>
    <w:rsid w:val="7AF406B1"/>
    <w:rsid w:val="7B0525BA"/>
    <w:rsid w:val="7B3D625A"/>
    <w:rsid w:val="7B7D2454"/>
    <w:rsid w:val="7B98728E"/>
    <w:rsid w:val="7BA63759"/>
    <w:rsid w:val="7BA7127F"/>
    <w:rsid w:val="7BE6624C"/>
    <w:rsid w:val="7BEA1986"/>
    <w:rsid w:val="7BEE3352"/>
    <w:rsid w:val="7BFF2E69"/>
    <w:rsid w:val="7C063E6E"/>
    <w:rsid w:val="7C262AEC"/>
    <w:rsid w:val="7C266648"/>
    <w:rsid w:val="7C765821"/>
    <w:rsid w:val="7CA57EB5"/>
    <w:rsid w:val="7CD04806"/>
    <w:rsid w:val="7CEB12EA"/>
    <w:rsid w:val="7CF14EA8"/>
    <w:rsid w:val="7D376B33"/>
    <w:rsid w:val="7D6349FD"/>
    <w:rsid w:val="7D901798"/>
    <w:rsid w:val="7DDC13C7"/>
    <w:rsid w:val="7E15463C"/>
    <w:rsid w:val="7E1F5A45"/>
    <w:rsid w:val="7E266DD3"/>
    <w:rsid w:val="7E461224"/>
    <w:rsid w:val="7E5C45A3"/>
    <w:rsid w:val="7E8B6C36"/>
    <w:rsid w:val="7E9E4525"/>
    <w:rsid w:val="7EBE7E5E"/>
    <w:rsid w:val="7ECB1729"/>
    <w:rsid w:val="7ECF2FC7"/>
    <w:rsid w:val="7EE8052D"/>
    <w:rsid w:val="7F315A30"/>
    <w:rsid w:val="7F427C3D"/>
    <w:rsid w:val="7F9F508F"/>
    <w:rsid w:val="7FB81CAD"/>
    <w:rsid w:val="7FD12D6F"/>
    <w:rsid w:val="7FE5681A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line="360" w:lineRule="auto"/>
      <w:ind w:firstLine="420" w:firstLineChars="200"/>
      <w:jc w:val="both"/>
    </w:pPr>
    <w:rPr>
      <w:rFonts w:cs="宋体" w:asciiTheme="minorEastAsia" w:hAnsiTheme="minorEastAsia" w:eastAsiaTheme="minorEastAsia"/>
      <w:sz w:val="21"/>
      <w:lang w:val="en-US" w:eastAsia="zh-CN" w:bidi="zh-TW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outlineLvl w:val="1"/>
    </w:pPr>
    <w:rPr>
      <w:rFonts w:ascii="Arial" w:hAnsi="Arial" w:eastAsia="楷体_GB2312" w:cstheme="minorBidi"/>
      <w:b/>
      <w:bCs/>
      <w:sz w:val="24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</w:style>
  <w:style w:type="paragraph" w:styleId="5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eastAsia="en-US" w:bidi="ar-SA"/>
    </w:rPr>
  </w:style>
  <w:style w:type="paragraph" w:styleId="6">
    <w:name w:val="Plain Text"/>
    <w:basedOn w:val="1"/>
    <w:next w:val="1"/>
    <w:qFormat/>
    <w:uiPriority w:val="0"/>
    <w:rPr>
      <w:rFonts w:ascii="宋体" w:hAnsi="Courier New"/>
    </w:rPr>
  </w:style>
  <w:style w:type="paragraph" w:styleId="7">
    <w:name w:val="Balloon Text"/>
    <w:basedOn w:val="1"/>
    <w:link w:val="63"/>
    <w:uiPriority w:val="0"/>
    <w:pPr>
      <w:spacing w:line="240" w:lineRule="auto"/>
    </w:pPr>
    <w:rPr>
      <w:sz w:val="18"/>
      <w:szCs w:val="18"/>
    </w:rPr>
  </w:style>
  <w:style w:type="paragraph" w:styleId="8">
    <w:name w:val="footer"/>
    <w:basedOn w:val="1"/>
    <w:autoRedefine/>
    <w:qFormat/>
    <w:uiPriority w:val="99"/>
    <w:pPr>
      <w:ind w:right="210" w:rightChars="100"/>
      <w:jc w:val="right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</w:pPr>
    <w:rPr>
      <w:sz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hint="eastAsia" w:ascii="宋体" w:hAnsi="宋体"/>
      <w:sz w:val="24"/>
    </w:rPr>
  </w:style>
  <w:style w:type="table" w:styleId="12">
    <w:name w:val="Table Grid"/>
    <w:basedOn w:val="11"/>
    <w:autoRedefine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">
    <w:name w:val="Emphasis"/>
    <w:basedOn w:val="13"/>
    <w:qFormat/>
    <w:uiPriority w:val="0"/>
    <w:rPr>
      <w:i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paragraph" w:customStyle="1" w:styleId="16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7">
    <w:name w:val="封面标准代替信息"/>
    <w:autoRedefine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8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9">
    <w:name w:val="封面标准名称"/>
    <w:autoRedefine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0">
    <w:name w:val="封面标准英文名称"/>
    <w:basedOn w:val="19"/>
    <w:autoRedefine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21">
    <w:name w:val="封面标准文稿类别"/>
    <w:basedOn w:val="22"/>
    <w:autoRedefine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22">
    <w:name w:val="封面一致性程度标识"/>
    <w:basedOn w:val="20"/>
    <w:autoRedefine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23">
    <w:name w:val="封面标准文稿编辑信息"/>
    <w:basedOn w:val="21"/>
    <w:autoRedefine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24">
    <w:name w:val="其他发布日期"/>
    <w:basedOn w:val="25"/>
    <w:autoRedefine/>
    <w:qFormat/>
    <w:uiPriority w:val="0"/>
    <w:pPr>
      <w:framePr w:wrap="around" w:vAnchor="page" w:hAnchor="text" w:x="1419"/>
    </w:pPr>
  </w:style>
  <w:style w:type="paragraph" w:customStyle="1" w:styleId="25">
    <w:name w:val="发布日期"/>
    <w:autoRedefine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26">
    <w:name w:val="其他实施日期"/>
    <w:basedOn w:val="27"/>
    <w:autoRedefine/>
    <w:qFormat/>
    <w:uiPriority w:val="0"/>
    <w:pPr>
      <w:framePr w:wrap="around"/>
    </w:pPr>
  </w:style>
  <w:style w:type="paragraph" w:customStyle="1" w:styleId="27">
    <w:name w:val="实施日期"/>
    <w:basedOn w:val="25"/>
    <w:autoRedefine/>
    <w:qFormat/>
    <w:uiPriority w:val="0"/>
    <w:pPr>
      <w:framePr w:wrap="around" w:vAnchor="page" w:hAnchor="text"/>
      <w:jc w:val="right"/>
    </w:pPr>
  </w:style>
  <w:style w:type="paragraph" w:customStyle="1" w:styleId="28">
    <w:name w:val="其他发布部门"/>
    <w:basedOn w:val="29"/>
    <w:autoRedefine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29">
    <w:name w:val="发布部门"/>
    <w:next w:val="30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30">
    <w:name w:val="段"/>
    <w:link w:val="62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360" w:lineRule="auto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1">
    <w:name w:val="发布"/>
    <w:basedOn w:val="13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32">
    <w:name w:val="前言、引言标题"/>
    <w:next w:val="30"/>
    <w:autoRedefine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3">
    <w:name w:val="Body text|1"/>
    <w:basedOn w:val="1"/>
    <w:autoRedefine/>
    <w:qFormat/>
    <w:uiPriority w:val="0"/>
    <w:pPr>
      <w:spacing w:line="312" w:lineRule="auto"/>
    </w:pPr>
    <w:rPr>
      <w:rFonts w:ascii="MingLiU" w:hAnsi="MingLiU" w:eastAsia="MingLiU" w:cs="MingLiU"/>
      <w:sz w:val="20"/>
      <w:lang w:val="zh-TW" w:eastAsia="zh-TW"/>
    </w:rPr>
  </w:style>
  <w:style w:type="paragraph" w:customStyle="1" w:styleId="34">
    <w:name w:val="章标题"/>
    <w:next w:val="30"/>
    <w:autoRedefine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5">
    <w:name w:val="列项——（一级）"/>
    <w:autoRedefine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6">
    <w:name w:val="一级无"/>
    <w:basedOn w:val="37"/>
    <w:autoRedefine/>
    <w:qFormat/>
    <w:uiPriority w:val="0"/>
    <w:rPr>
      <w:rFonts w:ascii="宋体" w:eastAsia="宋体"/>
    </w:rPr>
  </w:style>
  <w:style w:type="paragraph" w:customStyle="1" w:styleId="37">
    <w:name w:val="一级条标题"/>
    <w:next w:val="30"/>
    <w:autoRedefine/>
    <w:qFormat/>
    <w:uiPriority w:val="0"/>
    <w:pPr>
      <w:spacing w:line="360" w:lineRule="auto"/>
      <w:ind w:firstLine="480" w:firstLineChars="20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8">
    <w:name w:val="正文表标题"/>
    <w:next w:val="30"/>
    <w:autoRedefine/>
    <w:qFormat/>
    <w:uiPriority w:val="0"/>
    <w:pPr>
      <w:numPr>
        <w:ilvl w:val="0"/>
        <w:numId w:val="4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9">
    <w:name w:val="注："/>
    <w:next w:val="30"/>
    <w:autoRedefine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0">
    <w:name w:val="二级无"/>
    <w:basedOn w:val="41"/>
    <w:autoRedefine/>
    <w:qFormat/>
    <w:uiPriority w:val="0"/>
    <w:rPr>
      <w:rFonts w:ascii="宋体" w:eastAsia="宋体"/>
    </w:rPr>
  </w:style>
  <w:style w:type="paragraph" w:customStyle="1" w:styleId="41">
    <w:name w:val="二级条标题"/>
    <w:basedOn w:val="37"/>
    <w:next w:val="30"/>
    <w:autoRedefine/>
    <w:qFormat/>
    <w:uiPriority w:val="0"/>
    <w:pPr>
      <w:jc w:val="both"/>
      <w:outlineLvl w:val="3"/>
    </w:pPr>
  </w:style>
  <w:style w:type="paragraph" w:customStyle="1" w:styleId="42">
    <w:name w:val="三级无"/>
    <w:basedOn w:val="43"/>
    <w:autoRedefine/>
    <w:qFormat/>
    <w:uiPriority w:val="0"/>
    <w:rPr>
      <w:rFonts w:ascii="宋体" w:eastAsia="宋体"/>
    </w:rPr>
  </w:style>
  <w:style w:type="paragraph" w:customStyle="1" w:styleId="43">
    <w:name w:val="三级条标题"/>
    <w:basedOn w:val="41"/>
    <w:next w:val="30"/>
    <w:autoRedefine/>
    <w:qFormat/>
    <w:uiPriority w:val="0"/>
    <w:pPr>
      <w:outlineLvl w:val="4"/>
    </w:pPr>
  </w:style>
  <w:style w:type="paragraph" w:customStyle="1" w:styleId="44">
    <w:name w:val="字母编号列项（一级）"/>
    <w:autoRedefine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5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6">
    <w:name w:val="其他标准称谓"/>
    <w:autoRedefine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47">
    <w:name w:val="封面标准号1"/>
    <w:autoRedefine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48">
    <w:name w:val="标准书眉_奇数页"/>
    <w:next w:val="1"/>
    <w:autoRedefine/>
    <w:qFormat/>
    <w:uiPriority w:val="0"/>
    <w:pPr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4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0">
    <w:name w:val="标准文件_术语条一"/>
    <w:basedOn w:val="51"/>
    <w:next w:val="54"/>
    <w:autoRedefine/>
    <w:qFormat/>
    <w:uiPriority w:val="0"/>
  </w:style>
  <w:style w:type="paragraph" w:customStyle="1" w:styleId="51">
    <w:name w:val="标准文件_一级无标题"/>
    <w:basedOn w:val="52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52">
    <w:name w:val="标准文件_一级条标题"/>
    <w:basedOn w:val="53"/>
    <w:next w:val="54"/>
    <w:autoRedefine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53">
    <w:name w:val="标准文件_章标题"/>
    <w:next w:val="54"/>
    <w:autoRedefine/>
    <w:qFormat/>
    <w:uiPriority w:val="0"/>
    <w:pPr>
      <w:numPr>
        <w:ilvl w:val="1"/>
        <w:numId w:val="7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4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55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56">
    <w:name w:val="font1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5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msolistparagraph"/>
    <w:basedOn w:val="1"/>
    <w:qFormat/>
    <w:uiPriority w:val="0"/>
    <w:rPr>
      <w:rFonts w:hint="eastAsia" w:ascii="等线" w:hAnsi="等线" w:eastAsia="等线"/>
    </w:rPr>
  </w:style>
  <w:style w:type="paragraph" w:styleId="59">
    <w:name w:val="List Paragraph"/>
    <w:basedOn w:val="1"/>
    <w:unhideWhenUsed/>
    <w:qFormat/>
    <w:uiPriority w:val="34"/>
  </w:style>
  <w:style w:type="paragraph" w:customStyle="1" w:styleId="60">
    <w:name w:val="Table Text"/>
    <w:basedOn w:val="1"/>
    <w:semiHidden/>
    <w:qFormat/>
    <w:uiPriority w:val="0"/>
    <w:rPr>
      <w:rFonts w:ascii="宋体" w:hAnsi="宋体" w:eastAsia="宋体"/>
      <w:sz w:val="18"/>
      <w:szCs w:val="18"/>
      <w:lang w:eastAsia="en-US" w:bidi="ar-SA"/>
    </w:rPr>
  </w:style>
  <w:style w:type="table" w:customStyle="1" w:styleId="6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2">
    <w:name w:val="段 Char"/>
    <w:link w:val="30"/>
    <w:qFormat/>
    <w:locked/>
    <w:uiPriority w:val="0"/>
    <w:rPr>
      <w:rFonts w:ascii="宋体"/>
      <w:sz w:val="21"/>
    </w:rPr>
  </w:style>
  <w:style w:type="character" w:customStyle="1" w:styleId="63">
    <w:name w:val="批注框文本 字符"/>
    <w:basedOn w:val="13"/>
    <w:link w:val="7"/>
    <w:uiPriority w:val="0"/>
    <w:rPr>
      <w:rFonts w:cs="宋体" w:asciiTheme="minorEastAsia" w:hAnsiTheme="minorEastAsia" w:eastAsiaTheme="minorEastAsia"/>
      <w:sz w:val="18"/>
      <w:szCs w:val="18"/>
      <w:lang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10</Pages>
  <Words>2512</Words>
  <Characters>2820</Characters>
  <Lines>44</Lines>
  <Paragraphs>12</Paragraphs>
  <TotalTime>198</TotalTime>
  <ScaleCrop>false</ScaleCrop>
  <LinksUpToDate>false</LinksUpToDate>
  <CharactersWithSpaces>2919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2024-07-23T05:47:00Z</dcterms:created>
  <dc:creator>wxx</dc:creator>
  <cp:lastModifiedBy>llhliulihua</cp:lastModifiedBy>
  <dcterms:modified xsi:type="dcterms:W3CDTF">2025-06-10T05:39:41Z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2B605EFCCAC34BE8813B5C8E9267B31E_13</vt:lpwstr>
  </property>
  <property fmtid="{D5CDD505-2E9C-101B-9397-08002B2CF9AE}" pid="4" name="KSOTemplateDocerSaveRecord">
    <vt:lpwstr>eyJoZGlkIjoiN2JjNjlkY2Y1Y2NkZGE5Y2Q5NGZmMDVlNzZhMDkwMDUiLCJ1c2VySWQiOiI2NzY3MTU3NDcifQ==</vt:lpwstr>
  </property>
</Properties>
</file>